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eastAsia="黑体"/>
          <w:b/>
          <w:bCs/>
          <w:kern w:val="0"/>
          <w:sz w:val="24"/>
          <w:szCs w:val="24"/>
        </w:rPr>
      </w:pPr>
      <w:r>
        <w:rPr>
          <w:rFonts w:eastAsia="黑体"/>
          <w:b/>
          <w:bCs/>
          <w:kern w:val="0"/>
          <w:sz w:val="24"/>
          <w:szCs w:val="15"/>
        </w:rPr>
        <w:t xml:space="preserve"> </w:t>
      </w:r>
      <w:r>
        <w:rPr>
          <w:rFonts w:hint="eastAsia" w:ascii="黑体" w:eastAsia="黑体"/>
          <w:b/>
          <w:bCs/>
          <w:kern w:val="0"/>
          <w:sz w:val="24"/>
          <w:szCs w:val="24"/>
        </w:rPr>
        <w:t>理财产品风险揭示书</w:t>
      </w:r>
    </w:p>
    <w:p>
      <w:pPr>
        <w:spacing w:line="0" w:lineRule="atLeast"/>
        <w:jc w:val="center"/>
        <w:rPr>
          <w:rFonts w:eastAsia="黑体"/>
          <w:color w:val="3D3D3D"/>
          <w:kern w:val="0"/>
        </w:rPr>
      </w:pPr>
      <w:r>
        <w:rPr>
          <w:rFonts w:eastAsia="黑体"/>
          <w:b/>
          <w:bCs/>
          <w:i/>
          <w:iCs/>
          <w:kern w:val="0"/>
          <w:sz w:val="24"/>
          <w:szCs w:val="24"/>
          <w:u w:val="single"/>
        </w:rPr>
        <w:t>“</w:t>
      </w:r>
      <w:r>
        <w:rPr>
          <w:rFonts w:hint="eastAsia" w:ascii="黑体" w:eastAsia="黑体"/>
          <w:b/>
          <w:bCs/>
          <w:i/>
          <w:iCs/>
          <w:kern w:val="0"/>
          <w:sz w:val="24"/>
          <w:szCs w:val="24"/>
          <w:u w:val="single"/>
        </w:rPr>
        <w:t>理财非存款、产品有风险、投资须谨慎</w:t>
      </w:r>
      <w:r>
        <w:rPr>
          <w:rFonts w:eastAsia="黑体"/>
          <w:b/>
          <w:bCs/>
          <w:i/>
          <w:iCs/>
          <w:kern w:val="0"/>
          <w:sz w:val="24"/>
          <w:szCs w:val="24"/>
          <w:u w:val="single"/>
        </w:rPr>
        <w:t>”</w:t>
      </w:r>
      <w:r>
        <w:rPr>
          <w:rFonts w:hint="eastAsia" w:ascii="黑体" w:eastAsia="黑体"/>
          <w:b/>
          <w:bCs/>
          <w:i/>
          <w:iCs/>
          <w:kern w:val="0"/>
          <w:sz w:val="24"/>
          <w:szCs w:val="24"/>
          <w:u w:val="single"/>
        </w:rPr>
        <w:t>！</w:t>
      </w:r>
    </w:p>
    <w:p>
      <w:pPr>
        <w:widowControl/>
        <w:spacing w:line="200" w:lineRule="exact"/>
        <w:ind w:firstLine="260" w:firstLineChars="200"/>
        <w:rPr>
          <w:b/>
          <w:color w:val="3D3D3D"/>
          <w:kern w:val="0"/>
          <w:sz w:val="13"/>
          <w:szCs w:val="13"/>
        </w:rPr>
      </w:pPr>
      <w:r>
        <w:rPr>
          <w:rFonts w:hint="eastAsia" w:ascii="宋体"/>
          <w:b/>
          <w:color w:val="3D3D3D"/>
          <w:kern w:val="0"/>
          <w:sz w:val="13"/>
          <w:szCs w:val="13"/>
        </w:rPr>
        <w:t>本理财产品是</w:t>
      </w:r>
      <w:r>
        <w:rPr>
          <w:rFonts w:hint="eastAsia" w:ascii="宋体"/>
          <w:b/>
          <w:i/>
          <w:iCs/>
          <w:color w:val="3D3D3D"/>
          <w:kern w:val="0"/>
          <w:sz w:val="20"/>
          <w:szCs w:val="20"/>
          <w:u w:val="single"/>
        </w:rPr>
        <w:t>封闭式、固定收益类、公募、净值型</w:t>
      </w:r>
      <w:r>
        <w:rPr>
          <w:rFonts w:hint="eastAsia" w:ascii="宋体"/>
          <w:b/>
          <w:color w:val="3D3D3D"/>
          <w:kern w:val="0"/>
          <w:sz w:val="13"/>
          <w:szCs w:val="13"/>
        </w:rPr>
        <w:t>理财产品，</w:t>
      </w:r>
      <w:r>
        <w:rPr>
          <w:rFonts w:hint="eastAsia" w:ascii="宋体"/>
          <w:b/>
          <w:i/>
          <w:iCs/>
          <w:color w:val="3D3D3D"/>
          <w:kern w:val="0"/>
          <w:sz w:val="20"/>
          <w:szCs w:val="20"/>
          <w:u w:val="single"/>
        </w:rPr>
        <w:t>不保证本金和收益</w:t>
      </w:r>
      <w:r>
        <w:rPr>
          <w:rFonts w:hint="eastAsia" w:ascii="宋体"/>
          <w:b/>
          <w:color w:val="3D3D3D"/>
          <w:kern w:val="0"/>
          <w:sz w:val="13"/>
          <w:szCs w:val="13"/>
        </w:rPr>
        <w:t>，您（以下或称为</w:t>
      </w:r>
      <w:r>
        <w:rPr>
          <w:b/>
          <w:color w:val="3D3D3D"/>
          <w:kern w:val="0"/>
          <w:sz w:val="13"/>
          <w:szCs w:val="13"/>
        </w:rPr>
        <w:t>“</w:t>
      </w:r>
      <w:r>
        <w:rPr>
          <w:rFonts w:hint="eastAsia" w:ascii="宋体"/>
          <w:b/>
          <w:color w:val="3D3D3D"/>
          <w:kern w:val="0"/>
          <w:sz w:val="13"/>
          <w:szCs w:val="13"/>
        </w:rPr>
        <w:t>投资者</w:t>
      </w:r>
      <w:r>
        <w:rPr>
          <w:b/>
          <w:color w:val="3D3D3D"/>
          <w:kern w:val="0"/>
          <w:sz w:val="13"/>
          <w:szCs w:val="13"/>
        </w:rPr>
        <w:t>”</w:t>
      </w:r>
      <w:r>
        <w:rPr>
          <w:rFonts w:hint="eastAsia" w:ascii="宋体"/>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ascii="宋体"/>
          <w:b/>
          <w:color w:val="3D3D3D"/>
          <w:kern w:val="0"/>
          <w:sz w:val="13"/>
          <w:szCs w:val="13"/>
        </w:rPr>
        <w:t>理财产品销售文件</w:t>
      </w:r>
      <w:r>
        <w:rPr>
          <w:b/>
          <w:color w:val="3D3D3D"/>
          <w:kern w:val="0"/>
          <w:sz w:val="13"/>
          <w:szCs w:val="13"/>
        </w:rPr>
        <w:t>”</w:t>
      </w:r>
      <w:r>
        <w:rPr>
          <w:rFonts w:hint="eastAsia" w:ascii="宋体"/>
          <w:b/>
          <w:color w:val="3D3D3D"/>
          <w:kern w:val="0"/>
          <w:sz w:val="13"/>
          <w:szCs w:val="13"/>
        </w:rPr>
        <w:t>），了解本理财产品信息及详细条款。</w:t>
      </w:r>
    </w:p>
    <w:p>
      <w:pPr>
        <w:widowControl/>
        <w:spacing w:line="200" w:lineRule="exact"/>
        <w:ind w:firstLine="260" w:firstLineChars="200"/>
        <w:rPr>
          <w:b/>
          <w:color w:val="3D3D3D"/>
          <w:kern w:val="0"/>
          <w:sz w:val="13"/>
          <w:szCs w:val="13"/>
        </w:rPr>
      </w:pPr>
      <w:r>
        <w:rPr>
          <w:rFonts w:hint="eastAsia" w:ascii="宋体"/>
          <w:b/>
          <w:color w:val="3D3D3D"/>
          <w:kern w:val="0"/>
          <w:sz w:val="13"/>
          <w:szCs w:val="13"/>
        </w:rPr>
        <w:t>重要提示：南银理财有限责任公司（以下简称为</w:t>
      </w:r>
      <w:r>
        <w:rPr>
          <w:b/>
          <w:color w:val="3D3D3D"/>
          <w:kern w:val="0"/>
          <w:sz w:val="13"/>
          <w:szCs w:val="13"/>
        </w:rPr>
        <w:t>“</w:t>
      </w:r>
      <w:r>
        <w:rPr>
          <w:rFonts w:hint="eastAsia" w:ascii="宋体"/>
          <w:b/>
          <w:color w:val="3D3D3D"/>
          <w:kern w:val="0"/>
          <w:sz w:val="13"/>
          <w:szCs w:val="13"/>
        </w:rPr>
        <w:t>南银理财</w:t>
      </w:r>
      <w:r>
        <w:rPr>
          <w:b/>
          <w:color w:val="3D3D3D"/>
          <w:kern w:val="0"/>
          <w:sz w:val="13"/>
          <w:szCs w:val="13"/>
        </w:rPr>
        <w:t>”</w:t>
      </w:r>
      <w:r>
        <w:rPr>
          <w:rFonts w:hint="eastAsia" w:ascii="宋体"/>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ascii="宋体"/>
          <w:b/>
          <w:color w:val="3D3D3D"/>
          <w:kern w:val="0"/>
          <w:sz w:val="13"/>
          <w:szCs w:val="13"/>
        </w:rPr>
        <w:t>充分了解风险，自主选择购买</w:t>
      </w:r>
      <w:r>
        <w:rPr>
          <w:b/>
          <w:color w:val="3D3D3D"/>
          <w:kern w:val="0"/>
          <w:sz w:val="13"/>
          <w:szCs w:val="13"/>
        </w:rPr>
        <w:t>”</w:t>
      </w:r>
      <w:r>
        <w:rPr>
          <w:rFonts w:hint="eastAsia" w:ascii="宋体"/>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pPr>
        <w:widowControl/>
        <w:spacing w:line="200" w:lineRule="exact"/>
        <w:ind w:firstLine="260" w:firstLineChars="200"/>
        <w:rPr>
          <w:color w:val="3D3D3D"/>
          <w:kern w:val="0"/>
          <w:sz w:val="13"/>
          <w:szCs w:val="13"/>
        </w:rPr>
      </w:pPr>
      <w:r>
        <w:rPr>
          <w:rFonts w:hint="eastAsia" w:ascii="宋体"/>
          <w:b/>
          <w:color w:val="3D3D3D"/>
          <w:kern w:val="0"/>
          <w:sz w:val="13"/>
          <w:szCs w:val="13"/>
        </w:rPr>
        <w:t>本风险揭示书列示的风险指理财产品项下可能涉及的风险，包括但不限于：</w:t>
      </w:r>
    </w:p>
    <w:p>
      <w:pPr>
        <w:widowControl/>
        <w:spacing w:line="200" w:lineRule="exact"/>
        <w:ind w:firstLine="260" w:firstLineChars="200"/>
        <w:rPr>
          <w:color w:val="3D3D3D"/>
          <w:kern w:val="0"/>
          <w:sz w:val="13"/>
          <w:szCs w:val="13"/>
        </w:rPr>
      </w:pPr>
      <w:r>
        <w:rPr>
          <w:rFonts w:hint="eastAsia" w:ascii="宋体"/>
          <w:color w:val="3D3D3D"/>
          <w:kern w:val="0"/>
          <w:sz w:val="13"/>
          <w:szCs w:val="13"/>
        </w:rPr>
        <w:t>第一条</w:t>
      </w:r>
      <w:r>
        <w:rPr>
          <w:color w:val="3D3D3D"/>
          <w:kern w:val="0"/>
          <w:sz w:val="13"/>
          <w:szCs w:val="13"/>
        </w:rPr>
        <w:t xml:space="preserve"> </w:t>
      </w:r>
      <w:r>
        <w:rPr>
          <w:rFonts w:hint="eastAsia" w:ascii="宋体"/>
          <w:color w:val="3D3D3D"/>
          <w:kern w:val="0"/>
          <w:sz w:val="13"/>
          <w:szCs w:val="13"/>
        </w:rPr>
        <w:t>理财产品共性风险提示和管控措施</w:t>
      </w:r>
    </w:p>
    <w:p>
      <w:pPr>
        <w:widowControl/>
        <w:spacing w:line="200" w:lineRule="exact"/>
        <w:ind w:firstLine="260"/>
        <w:rPr>
          <w:color w:val="3D3D3D"/>
          <w:kern w:val="0"/>
          <w:sz w:val="13"/>
          <w:szCs w:val="13"/>
        </w:rPr>
      </w:pPr>
      <w:r>
        <w:rPr>
          <w:rFonts w:hint="eastAsia" w:ascii="宋体"/>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pPr>
        <w:widowControl/>
        <w:spacing w:line="200" w:lineRule="exact"/>
        <w:ind w:firstLine="260"/>
        <w:rPr>
          <w:color w:val="3D3D3D"/>
          <w:kern w:val="0"/>
          <w:sz w:val="13"/>
          <w:szCs w:val="13"/>
        </w:rPr>
      </w:pPr>
      <w:r>
        <w:rPr>
          <w:rFonts w:hint="eastAsia" w:ascii="宋体"/>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pPr>
        <w:widowControl/>
        <w:spacing w:line="200" w:lineRule="exact"/>
        <w:ind w:firstLine="260"/>
        <w:rPr>
          <w:color w:val="3D3D3D"/>
          <w:kern w:val="0"/>
          <w:sz w:val="13"/>
          <w:szCs w:val="13"/>
        </w:rPr>
      </w:pPr>
      <w:r>
        <w:rPr>
          <w:rFonts w:hint="eastAsia" w:ascii="宋体"/>
          <w:color w:val="3D3D3D"/>
          <w:kern w:val="0"/>
          <w:sz w:val="13"/>
          <w:szCs w:val="13"/>
        </w:rPr>
        <w:t>（三）市场风险：理财产品面临的市场风险主要指因市场各种风险因子变动，使得理财产品配置资产的价格发生波动，导致理财产品本金或收益蒙受损失的风险。</w:t>
      </w:r>
    </w:p>
    <w:p>
      <w:pPr>
        <w:widowControl/>
        <w:spacing w:line="200" w:lineRule="exact"/>
        <w:ind w:firstLine="260"/>
        <w:rPr>
          <w:color w:val="3D3D3D"/>
          <w:kern w:val="0"/>
          <w:sz w:val="13"/>
          <w:szCs w:val="13"/>
        </w:rPr>
      </w:pPr>
      <w:r>
        <w:rPr>
          <w:rFonts w:hint="eastAsia" w:ascii="宋体"/>
          <w:color w:val="3D3D3D"/>
          <w:kern w:val="0"/>
          <w:sz w:val="13"/>
          <w:szCs w:val="13"/>
        </w:rPr>
        <w:t>理财产品投资不同类型的资产可能面临的市场风险包括但不限于：</w:t>
      </w:r>
      <w:r>
        <w:rPr>
          <w:color w:val="3D3D3D"/>
          <w:kern w:val="0"/>
          <w:sz w:val="13"/>
          <w:szCs w:val="13"/>
        </w:rPr>
        <w:t>1.</w:t>
      </w:r>
      <w:r>
        <w:rPr>
          <w:rFonts w:hint="eastAsia" w:ascii="宋体"/>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ascii="宋体"/>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ascii="宋体"/>
          <w:color w:val="3D3D3D"/>
          <w:kern w:val="0"/>
          <w:sz w:val="13"/>
          <w:szCs w:val="13"/>
        </w:rPr>
        <w:t>理财产品投资商品及金融衍生品类产品可能面临衍生品公允价值变化风险等。</w:t>
      </w:r>
    </w:p>
    <w:p>
      <w:pPr>
        <w:widowControl/>
        <w:spacing w:line="200" w:lineRule="exact"/>
        <w:ind w:firstLine="260"/>
        <w:rPr>
          <w:color w:val="3D3D3D"/>
          <w:kern w:val="0"/>
          <w:sz w:val="13"/>
          <w:szCs w:val="13"/>
        </w:rPr>
      </w:pPr>
      <w:r>
        <w:rPr>
          <w:rFonts w:hint="eastAsia" w:ascii="宋体"/>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pPr>
        <w:widowControl/>
        <w:spacing w:line="200" w:lineRule="exact"/>
        <w:ind w:firstLine="260"/>
        <w:rPr>
          <w:color w:val="3D3D3D"/>
          <w:kern w:val="0"/>
          <w:sz w:val="13"/>
          <w:szCs w:val="13"/>
        </w:rPr>
      </w:pPr>
      <w:r>
        <w:rPr>
          <w:rFonts w:hint="eastAsia" w:ascii="宋体"/>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pPr>
        <w:widowControl/>
        <w:spacing w:line="200" w:lineRule="exact"/>
        <w:ind w:firstLine="260"/>
        <w:rPr>
          <w:color w:val="3D3D3D"/>
          <w:kern w:val="0"/>
          <w:sz w:val="13"/>
          <w:szCs w:val="13"/>
        </w:rPr>
      </w:pPr>
      <w:r>
        <w:rPr>
          <w:rFonts w:hint="eastAsia" w:ascii="宋体"/>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pPr>
        <w:widowControl/>
        <w:spacing w:line="200" w:lineRule="exact"/>
        <w:ind w:firstLine="260"/>
        <w:rPr>
          <w:color w:val="3D3D3D"/>
          <w:kern w:val="0"/>
          <w:sz w:val="13"/>
          <w:szCs w:val="13"/>
        </w:rPr>
      </w:pPr>
      <w:r>
        <w:rPr>
          <w:rFonts w:hint="eastAsia" w:ascii="宋体"/>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pPr>
        <w:widowControl/>
        <w:spacing w:line="200" w:lineRule="exact"/>
        <w:ind w:firstLine="260"/>
        <w:rPr>
          <w:color w:val="3D3D3D"/>
          <w:kern w:val="0"/>
          <w:sz w:val="13"/>
          <w:szCs w:val="13"/>
        </w:rPr>
      </w:pPr>
      <w:r>
        <w:rPr>
          <w:rFonts w:hint="eastAsia" w:ascii="宋体"/>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pPr>
        <w:widowControl/>
        <w:spacing w:line="200" w:lineRule="exact"/>
        <w:ind w:firstLine="260"/>
        <w:rPr>
          <w:color w:val="3D3D3D"/>
          <w:kern w:val="0"/>
          <w:sz w:val="13"/>
          <w:szCs w:val="13"/>
        </w:rPr>
      </w:pPr>
      <w:r>
        <w:rPr>
          <w:rFonts w:hint="eastAsia" w:ascii="宋体"/>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pPr>
        <w:widowControl/>
        <w:spacing w:line="200" w:lineRule="exact"/>
        <w:ind w:firstLine="260"/>
        <w:rPr>
          <w:color w:val="3D3D3D"/>
          <w:kern w:val="0"/>
          <w:sz w:val="13"/>
          <w:szCs w:val="13"/>
        </w:rPr>
      </w:pPr>
      <w:r>
        <w:rPr>
          <w:rFonts w:hint="eastAsia" w:ascii="宋体"/>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pPr>
        <w:widowControl/>
        <w:spacing w:line="200" w:lineRule="exact"/>
        <w:ind w:firstLine="260"/>
        <w:rPr>
          <w:b/>
          <w:bCs/>
          <w:color w:val="3D3D3D"/>
          <w:kern w:val="0"/>
          <w:sz w:val="13"/>
          <w:szCs w:val="13"/>
        </w:rPr>
      </w:pPr>
      <w:r>
        <w:rPr>
          <w:rFonts w:hint="eastAsia" w:ascii="宋体"/>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pPr>
        <w:widowControl/>
        <w:spacing w:line="200" w:lineRule="exact"/>
        <w:ind w:firstLine="260"/>
        <w:rPr>
          <w:b/>
          <w:bCs/>
          <w:color w:val="3D3D3D"/>
          <w:kern w:val="0"/>
          <w:sz w:val="13"/>
          <w:szCs w:val="13"/>
        </w:rPr>
      </w:pPr>
      <w:r>
        <w:rPr>
          <w:rFonts w:hint="eastAsia" w:ascii="宋体"/>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pPr>
        <w:widowControl/>
        <w:spacing w:line="200" w:lineRule="exact"/>
        <w:ind w:firstLine="260"/>
        <w:rPr>
          <w:b/>
          <w:bCs/>
          <w:color w:val="3D3D3D"/>
          <w:kern w:val="0"/>
          <w:sz w:val="13"/>
          <w:szCs w:val="13"/>
        </w:rPr>
      </w:pPr>
      <w:r>
        <w:rPr>
          <w:rFonts w:hint="eastAsia" w:ascii="宋体"/>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pPr>
        <w:widowControl/>
        <w:spacing w:line="200" w:lineRule="exact"/>
        <w:ind w:firstLine="260"/>
        <w:rPr>
          <w:color w:val="3D3D3D"/>
          <w:kern w:val="0"/>
          <w:sz w:val="13"/>
          <w:szCs w:val="13"/>
        </w:rPr>
      </w:pPr>
      <w:r>
        <w:rPr>
          <w:rFonts w:hint="eastAsia" w:ascii="宋体"/>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pPr>
        <w:widowControl/>
        <w:spacing w:line="200" w:lineRule="exact"/>
        <w:ind w:firstLine="260"/>
        <w:rPr>
          <w:color w:val="3D3D3D"/>
          <w:kern w:val="0"/>
          <w:sz w:val="13"/>
          <w:szCs w:val="13"/>
        </w:rPr>
      </w:pPr>
      <w:r>
        <w:rPr>
          <w:rFonts w:hint="eastAsia" w:ascii="宋体"/>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widowControl/>
        <w:spacing w:line="200" w:lineRule="exact"/>
        <w:ind w:firstLine="260"/>
        <w:rPr>
          <w:color w:val="3D3D3D"/>
          <w:kern w:val="0"/>
          <w:sz w:val="13"/>
          <w:szCs w:val="13"/>
        </w:rPr>
      </w:pPr>
      <w:r>
        <w:rPr>
          <w:rFonts w:hint="eastAsia" w:ascii="宋体"/>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pPr>
        <w:widowControl/>
        <w:spacing w:line="200" w:lineRule="exact"/>
        <w:ind w:firstLine="260"/>
        <w:rPr>
          <w:color w:val="3D3D3D"/>
          <w:kern w:val="0"/>
          <w:sz w:val="13"/>
          <w:szCs w:val="13"/>
        </w:rPr>
      </w:pPr>
      <w:r>
        <w:rPr>
          <w:rFonts w:hint="eastAsia" w:ascii="宋体"/>
          <w:color w:val="3D3D3D"/>
          <w:kern w:val="0"/>
          <w:sz w:val="13"/>
          <w:szCs w:val="13"/>
        </w:rPr>
        <w:t>（十五）操作风险：若管理人、销售机构、托管机构由于内部作业、人员管理及系统操作不当或失误，处理事务不当等，可能导致本理财产品的本金及收益遭受损失。</w:t>
      </w:r>
    </w:p>
    <w:p>
      <w:pPr>
        <w:widowControl/>
        <w:spacing w:line="200" w:lineRule="exact"/>
        <w:ind w:firstLine="260"/>
        <w:rPr>
          <w:color w:val="3D3D3D"/>
          <w:kern w:val="0"/>
          <w:sz w:val="13"/>
          <w:szCs w:val="13"/>
        </w:rPr>
      </w:pPr>
      <w:r>
        <w:rPr>
          <w:rFonts w:hint="eastAsia" w:ascii="宋体"/>
          <w:color w:val="3D3D3D"/>
          <w:kern w:val="0"/>
          <w:sz w:val="13"/>
          <w:szCs w:val="13"/>
        </w:rPr>
        <w:t>（十六）代销风险：本理财产品通过代销机构销售时，认购</w:t>
      </w:r>
      <w:r>
        <w:rPr>
          <w:color w:val="3D3D3D"/>
          <w:kern w:val="0"/>
          <w:sz w:val="13"/>
          <w:szCs w:val="13"/>
        </w:rPr>
        <w:t>/</w:t>
      </w:r>
      <w:r>
        <w:rPr>
          <w:rFonts w:hint="eastAsia" w:ascii="宋体"/>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ascii="宋体"/>
          <w:color w:val="3D3D3D"/>
          <w:kern w:val="0"/>
          <w:sz w:val="13"/>
          <w:szCs w:val="13"/>
        </w:rPr>
        <w:t>申购资金划转至南银理财，将导致投资者无法完成认购</w:t>
      </w:r>
      <w:r>
        <w:rPr>
          <w:color w:val="3D3D3D"/>
          <w:kern w:val="0"/>
          <w:sz w:val="13"/>
          <w:szCs w:val="13"/>
        </w:rPr>
        <w:t>/</w:t>
      </w:r>
      <w:r>
        <w:rPr>
          <w:rFonts w:hint="eastAsia" w:ascii="宋体"/>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pPr>
        <w:widowControl/>
        <w:spacing w:line="200" w:lineRule="exact"/>
        <w:ind w:firstLine="260"/>
        <w:rPr>
          <w:color w:val="3D3D3D"/>
          <w:kern w:val="0"/>
          <w:sz w:val="13"/>
          <w:szCs w:val="13"/>
        </w:rPr>
      </w:pPr>
      <w:r>
        <w:rPr>
          <w:rFonts w:hint="eastAsia" w:ascii="宋体"/>
          <w:color w:val="3D3D3D"/>
          <w:kern w:val="0"/>
          <w:sz w:val="13"/>
          <w:szCs w:val="13"/>
        </w:rPr>
        <w:t>（十七）未知价风险：净值型产品采用</w:t>
      </w:r>
      <w:r>
        <w:rPr>
          <w:color w:val="3D3D3D"/>
          <w:kern w:val="0"/>
          <w:sz w:val="13"/>
          <w:szCs w:val="13"/>
        </w:rPr>
        <w:t>“</w:t>
      </w:r>
      <w:r>
        <w:rPr>
          <w:rFonts w:hint="eastAsia" w:ascii="宋体"/>
          <w:color w:val="3D3D3D"/>
          <w:kern w:val="0"/>
          <w:sz w:val="13"/>
          <w:szCs w:val="13"/>
        </w:rPr>
        <w:t>金额申购、份额赎回</w:t>
      </w:r>
      <w:r>
        <w:rPr>
          <w:color w:val="3D3D3D"/>
          <w:kern w:val="0"/>
          <w:sz w:val="13"/>
          <w:szCs w:val="13"/>
        </w:rPr>
        <w:t>”</w:t>
      </w:r>
      <w:r>
        <w:rPr>
          <w:rFonts w:hint="eastAsia" w:ascii="宋体"/>
          <w:color w:val="3D3D3D"/>
          <w:kern w:val="0"/>
          <w:sz w:val="13"/>
          <w:szCs w:val="13"/>
        </w:rPr>
        <w:t>原则，即产品认</w:t>
      </w:r>
      <w:r>
        <w:rPr>
          <w:color w:val="3D3D3D"/>
          <w:kern w:val="0"/>
          <w:sz w:val="13"/>
          <w:szCs w:val="13"/>
        </w:rPr>
        <w:t>/</w:t>
      </w:r>
      <w:r>
        <w:rPr>
          <w:rFonts w:hint="eastAsia" w:ascii="宋体"/>
          <w:color w:val="3D3D3D"/>
          <w:kern w:val="0"/>
          <w:sz w:val="13"/>
          <w:szCs w:val="13"/>
        </w:rPr>
        <w:t>申购以金额申请，赎回以份额申请，认</w:t>
      </w:r>
      <w:r>
        <w:rPr>
          <w:color w:val="3D3D3D"/>
          <w:kern w:val="0"/>
          <w:sz w:val="13"/>
          <w:szCs w:val="13"/>
        </w:rPr>
        <w:t>/</w:t>
      </w:r>
      <w:r>
        <w:rPr>
          <w:rFonts w:hint="eastAsia" w:ascii="宋体"/>
          <w:color w:val="3D3D3D"/>
          <w:kern w:val="0"/>
          <w:sz w:val="13"/>
          <w:szCs w:val="13"/>
        </w:rPr>
        <w:t>申购与赎回价格以</w:t>
      </w:r>
      <w:r>
        <w:rPr>
          <w:color w:val="3D3D3D"/>
          <w:kern w:val="0"/>
          <w:sz w:val="13"/>
          <w:szCs w:val="13"/>
        </w:rPr>
        <w:t>“</w:t>
      </w:r>
      <w:r>
        <w:rPr>
          <w:rFonts w:hint="eastAsia" w:ascii="宋体"/>
          <w:color w:val="3D3D3D"/>
          <w:kern w:val="0"/>
          <w:sz w:val="13"/>
          <w:szCs w:val="13"/>
        </w:rPr>
        <w:t>未知价原则</w:t>
      </w:r>
      <w:r>
        <w:rPr>
          <w:color w:val="3D3D3D"/>
          <w:kern w:val="0"/>
          <w:sz w:val="13"/>
          <w:szCs w:val="13"/>
        </w:rPr>
        <w:t>”</w:t>
      </w:r>
      <w:r>
        <w:rPr>
          <w:rFonts w:hint="eastAsia" w:ascii="宋体"/>
          <w:color w:val="3D3D3D"/>
          <w:kern w:val="0"/>
          <w:sz w:val="13"/>
          <w:szCs w:val="13"/>
        </w:rPr>
        <w:t>受理申请。</w:t>
      </w:r>
      <w:r>
        <w:rPr>
          <w:color w:val="3D3D3D"/>
          <w:kern w:val="0"/>
          <w:sz w:val="13"/>
          <w:szCs w:val="13"/>
        </w:rPr>
        <w:t>“</w:t>
      </w:r>
      <w:r>
        <w:rPr>
          <w:rFonts w:hint="eastAsia" w:ascii="宋体"/>
          <w:color w:val="3D3D3D"/>
          <w:kern w:val="0"/>
          <w:sz w:val="13"/>
          <w:szCs w:val="13"/>
        </w:rPr>
        <w:t>未知价原则</w:t>
      </w:r>
      <w:r>
        <w:rPr>
          <w:color w:val="3D3D3D"/>
          <w:kern w:val="0"/>
          <w:sz w:val="13"/>
          <w:szCs w:val="13"/>
        </w:rPr>
        <w:t>”</w:t>
      </w:r>
      <w:r>
        <w:rPr>
          <w:rFonts w:hint="eastAsia" w:ascii="宋体"/>
          <w:color w:val="3D3D3D"/>
          <w:kern w:val="0"/>
          <w:sz w:val="13"/>
          <w:szCs w:val="13"/>
        </w:rPr>
        <w:t>，即理财产品申购申请和赎回申请提交时，适用的产品单位净值都是未知的，单位净值固定的产品除外。</w:t>
      </w:r>
    </w:p>
    <w:p>
      <w:pPr>
        <w:widowControl/>
        <w:spacing w:line="200" w:lineRule="exact"/>
        <w:ind w:firstLine="260"/>
      </w:pPr>
      <w:r>
        <w:rPr>
          <w:rFonts w:hint="eastAsia" w:ascii="宋体"/>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pStyle w:val="35"/>
        <w:widowControl/>
        <w:spacing w:line="200" w:lineRule="exact"/>
        <w:ind w:firstLine="260"/>
        <w:rPr>
          <w:rFonts w:ascii="Times New Roman" w:hAnsi="Times New Roman"/>
          <w:color w:val="3D3D3D"/>
          <w:kern w:val="0"/>
          <w:sz w:val="13"/>
          <w:szCs w:val="13"/>
        </w:rPr>
      </w:pPr>
      <w:r>
        <w:rPr>
          <w:rFonts w:hint="eastAsia" w:ascii="宋体"/>
          <w:color w:val="3D3D3D"/>
          <w:sz w:val="13"/>
          <w:szCs w:val="13"/>
        </w:rPr>
        <w:t xml:space="preserve"> </w:t>
      </w:r>
      <w:r>
        <w:rPr>
          <w:rFonts w:hint="eastAsia" w:ascii="宋体"/>
          <w:color w:val="3D3D3D"/>
          <w:kern w:val="0"/>
          <w:sz w:val="13"/>
          <w:szCs w:val="13"/>
        </w:rPr>
        <w:t>第二条</w:t>
      </w:r>
      <w:r>
        <w:rPr>
          <w:rFonts w:ascii="Times New Roman" w:hAnsi="Times New Roman"/>
          <w:color w:val="3D3D3D"/>
          <w:kern w:val="0"/>
          <w:sz w:val="13"/>
          <w:szCs w:val="13"/>
        </w:rPr>
        <w:t xml:space="preserve"> </w:t>
      </w:r>
      <w:r>
        <w:rPr>
          <w:rFonts w:hint="eastAsia" w:ascii="宋体"/>
          <w:color w:val="3D3D3D"/>
          <w:kern w:val="0"/>
          <w:sz w:val="13"/>
          <w:szCs w:val="13"/>
        </w:rPr>
        <w:t>本理财产品特定风险揭示</w:t>
      </w:r>
    </w:p>
    <w:p>
      <w:pPr>
        <w:spacing w:line="200" w:lineRule="exact"/>
      </w:pPr>
      <w:r>
        <w:rPr>
          <w:rFonts w:ascii="宋体" w:hAnsi="宋体" w:cs="宋体"/>
          <w:b/>
          <w:sz w:val="13"/>
        </w:rPr>
        <w:t xml:space="preserve">    1.债券类资产投资风险</w:t>
      </w:r>
    </w:p>
    <w:p>
      <w:pPr>
        <w:spacing w:line="200" w:lineRule="exact"/>
      </w:pPr>
      <w:r>
        <w:rPr>
          <w:rFonts w:ascii="宋体" w:hAnsi="宋体" w:cs="宋体"/>
          <w:b/>
          <w:sz w:val="13"/>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pPr>
        <w:spacing w:line="200" w:lineRule="exact"/>
      </w:pPr>
      <w:r>
        <w:rPr>
          <w:rFonts w:ascii="宋体" w:hAnsi="宋体" w:cs="宋体"/>
          <w:b/>
          <w:sz w:val="13"/>
        </w:rPr>
        <w:t xml:space="preserve">    2.非标准化债权类资产投资风险</w:t>
      </w:r>
    </w:p>
    <w:p>
      <w:pPr>
        <w:spacing w:line="200" w:lineRule="exact"/>
      </w:pPr>
      <w:r>
        <w:rPr>
          <w:rFonts w:ascii="宋体" w:hAnsi="宋体" w:cs="宋体"/>
          <w:b/>
          <w:sz w:val="13"/>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spacing w:line="200" w:lineRule="exact"/>
      </w:pPr>
      <w:r>
        <w:rPr>
          <w:rFonts w:ascii="宋体" w:hAnsi="宋体" w:cs="宋体"/>
          <w:b/>
          <w:sz w:val="13"/>
        </w:rPr>
        <w:t xml:space="preserve">    3.资产管理产品投资风险</w:t>
      </w:r>
    </w:p>
    <w:p>
      <w:pPr>
        <w:spacing w:line="200" w:lineRule="exact"/>
      </w:pPr>
      <w:r>
        <w:rPr>
          <w:rFonts w:ascii="宋体" w:hAnsi="宋体" w:cs="宋体"/>
          <w:b/>
          <w:sz w:val="13"/>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pPr>
        <w:spacing w:line="200" w:lineRule="exact"/>
      </w:pPr>
      <w:r>
        <w:rPr>
          <w:rFonts w:ascii="宋体" w:hAnsi="宋体" w:cs="宋体"/>
          <w:b/>
          <w:sz w:val="13"/>
        </w:rPr>
        <w:t xml:space="preserve">    4.非标准化债权类资产无法投资的风险</w:t>
      </w:r>
    </w:p>
    <w:p>
      <w:pPr>
        <w:spacing w:line="200" w:lineRule="exact"/>
      </w:pPr>
      <w:r>
        <w:rPr>
          <w:rFonts w:ascii="宋体" w:hAnsi="宋体" w:cs="宋体"/>
          <w:b/>
          <w:sz w:val="13"/>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br w:type="textWrapping"/>
      </w:r>
      <w:r>
        <w:rPr>
          <w:rFonts w:ascii="宋体" w:hAnsi="宋体" w:cs="宋体"/>
          <w:b/>
          <w:sz w:val="13"/>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type="textWrapping"/>
      </w:r>
      <w:r>
        <w:rPr>
          <w:rFonts w:ascii="宋体" w:hAnsi="宋体" w:cs="宋体"/>
          <w:b/>
          <w:sz w:val="13"/>
        </w:rPr>
        <w:t xml:space="preserve">    （2）若本理财产品已成立，则管理人有权提前终止本理财产品，自产品成立至提前终止日期间不计任何收益。</w:t>
      </w:r>
    </w:p>
    <w:p>
      <w:pPr>
        <w:pStyle w:val="35"/>
        <w:widowControl/>
        <w:spacing w:line="200" w:lineRule="exact"/>
        <w:ind w:firstLine="260"/>
        <w:rPr>
          <w:rFonts w:ascii="Times New Roman" w:hAnsi="Times New Roman"/>
          <w:b/>
          <w:bCs/>
          <w:color w:val="3D3D3D"/>
          <w:kern w:val="0"/>
          <w:sz w:val="13"/>
          <w:szCs w:val="13"/>
        </w:rPr>
      </w:pPr>
      <w:r>
        <w:rPr>
          <w:rFonts w:hint="eastAsia" w:ascii="宋体"/>
          <w:b/>
          <w:bCs/>
          <w:color w:val="3D3D3D"/>
          <w:kern w:val="0"/>
          <w:sz w:val="13"/>
          <w:szCs w:val="13"/>
        </w:rPr>
        <w:t>本理财产品类型：封闭式、固定收益类、公募、净值型。</w:t>
      </w:r>
    </w:p>
    <w:p>
      <w:pPr>
        <w:pStyle w:val="35"/>
        <w:widowControl/>
        <w:spacing w:line="200" w:lineRule="exact"/>
        <w:ind w:firstLine="270"/>
        <w:rPr>
          <w:rFonts w:ascii="Times New Roman" w:hAnsi="Times New Roman"/>
          <w:b/>
          <w:bCs/>
          <w:color w:val="3D3D3D"/>
          <w:kern w:val="0"/>
          <w:sz w:val="13"/>
          <w:szCs w:val="13"/>
        </w:rPr>
      </w:pPr>
      <w:r>
        <w:rPr>
          <w:rFonts w:hint="eastAsia" w:ascii="宋体"/>
          <w:b/>
          <w:color w:val="3D3D3D"/>
          <w:kern w:val="0"/>
          <w:sz w:val="13"/>
          <w:szCs w:val="13"/>
        </w:rPr>
        <w:t>本理财产品期限为</w:t>
      </w:r>
      <w:r>
        <w:rPr>
          <w:rFonts w:hint="eastAsia" w:ascii="宋体"/>
          <w:b/>
          <w:bCs/>
          <w:color w:val="3D3D3D"/>
          <w:kern w:val="0"/>
          <w:sz w:val="13"/>
          <w:szCs w:val="13"/>
        </w:rPr>
        <w:t>749天</w:t>
      </w:r>
      <w:r>
        <w:rPr>
          <w:rFonts w:hint="eastAsia" w:ascii="宋体"/>
          <w:b/>
          <w:color w:val="3D3D3D"/>
          <w:kern w:val="0"/>
          <w:sz w:val="13"/>
          <w:szCs w:val="13"/>
        </w:rPr>
        <w:t>（若本理财产品被提前终止或延期终止，以实际到期日计算持有天数）。</w:t>
      </w:r>
    </w:p>
    <w:p>
      <w:pPr>
        <w:pStyle w:val="36"/>
        <w:spacing w:line="200" w:lineRule="exact"/>
        <w:rPr>
          <w:rFonts w:ascii="Times New Roman" w:hAnsi="Times New Roman"/>
          <w:color w:val="3D3D3D"/>
          <w:kern w:val="0"/>
          <w:sz w:val="13"/>
          <w:szCs w:val="13"/>
        </w:rPr>
      </w:pPr>
      <w:r>
        <w:rPr>
          <w:rFonts w:hint="eastAsia" w:ascii="宋体"/>
          <w:b/>
          <w:bCs/>
          <w:color w:val="3D3D3D"/>
          <w:kern w:val="0"/>
          <w:sz w:val="13"/>
          <w:szCs w:val="13"/>
        </w:rPr>
        <w:t>本理财产品风险评级结果：</w:t>
      </w:r>
      <w:r>
        <w:rPr>
          <w:rFonts w:hint="eastAsia" w:ascii="宋体"/>
          <w:color w:val="3D3D3D"/>
          <w:kern w:val="0"/>
          <w:sz w:val="13"/>
          <w:szCs w:val="13"/>
        </w:rPr>
        <w:t>根据管理人内部风险评级，该产品风险等级为</w:t>
      </w:r>
      <w:r>
        <w:rPr>
          <w:rFonts w:hint="eastAsia" w:ascii="宋体"/>
          <w:b/>
          <w:color w:val="3D3D3D"/>
          <w:kern w:val="0"/>
          <w:sz w:val="13"/>
          <w:szCs w:val="13"/>
        </w:rPr>
        <w:t>中低风险</w:t>
      </w:r>
      <w:r>
        <w:rPr>
          <w:rFonts w:hint="eastAsia" w:ascii="宋体"/>
          <w:color w:val="3D3D3D"/>
          <w:kern w:val="0"/>
          <w:sz w:val="13"/>
          <w:szCs w:val="13"/>
        </w:rPr>
        <w:t>。</w:t>
      </w:r>
      <w:r>
        <w:rPr>
          <w:rFonts w:hint="eastAsia" w:ascii="Times New Roman" w:hAnsi="Times New Roman"/>
          <w:b/>
          <w:color w:val="3D3D3D"/>
          <w:kern w:val="0"/>
          <w:sz w:val="13"/>
          <w:szCs w:val="13"/>
        </w:rPr>
        <w:t xml:space="preserve"> </w:t>
      </w:r>
      <w:r>
        <w:rPr>
          <w:rFonts w:hint="eastAsia" w:ascii="宋体"/>
          <w:color w:val="3D3D3D"/>
          <w:kern w:val="0"/>
          <w:sz w:val="13"/>
          <w:szCs w:val="13"/>
        </w:rPr>
        <w:t>管理人不承诺本金保障，产品收益随投资表现变动，产品存在较低的本金损失风险。</w:t>
      </w:r>
    </w:p>
    <w:p>
      <w:pPr>
        <w:pStyle w:val="36"/>
        <w:spacing w:line="200" w:lineRule="exact"/>
        <w:ind w:firstLine="260" w:firstLineChars="200"/>
        <w:rPr>
          <w:rFonts w:ascii="Times New Roman" w:hAnsi="Times New Roman"/>
          <w:color w:val="3D3D3D"/>
          <w:kern w:val="0"/>
          <w:sz w:val="13"/>
          <w:szCs w:val="13"/>
        </w:rPr>
      </w:pPr>
      <w:r>
        <w:rPr>
          <w:rFonts w:hint="eastAsia" w:ascii="宋体"/>
          <w:b/>
          <w:bCs/>
          <w:color w:val="3D3D3D"/>
          <w:kern w:val="0"/>
          <w:sz w:val="13"/>
          <w:szCs w:val="13"/>
        </w:rPr>
        <w:t>本风险等级为南银理财风险评级结果，该产品通过代理销售机构渠道销售的，理财产品评级应当以代理销售机构最终披露的评级结果为准。</w:t>
      </w:r>
      <w:r>
        <w:rPr>
          <w:rFonts w:hint="eastAsia" w:ascii="宋体"/>
          <w:color w:val="3D3D3D"/>
          <w:kern w:val="0"/>
          <w:sz w:val="13"/>
          <w:szCs w:val="13"/>
        </w:rPr>
        <w:t>您需充分认识投资风险，谨慎投资。</w:t>
      </w:r>
    </w:p>
    <w:p>
      <w:pPr>
        <w:pStyle w:val="35"/>
        <w:widowControl/>
        <w:spacing w:line="200" w:lineRule="exact"/>
        <w:ind w:firstLine="260" w:firstLineChars="200"/>
        <w:rPr>
          <w:rFonts w:ascii="Times New Roman" w:hAnsi="Times New Roman"/>
          <w:b/>
          <w:bCs/>
          <w:color w:val="3D3D3D"/>
          <w:kern w:val="0"/>
          <w:sz w:val="13"/>
          <w:szCs w:val="13"/>
        </w:rPr>
      </w:pPr>
      <w:r>
        <w:rPr>
          <w:rFonts w:hint="eastAsia" w:ascii="宋体"/>
          <w:b/>
          <w:bCs/>
          <w:color w:val="3D3D3D"/>
          <w:kern w:val="0"/>
          <w:sz w:val="13"/>
          <w:szCs w:val="13"/>
        </w:rPr>
        <w:t>适合购买本理财产品的投资者：</w:t>
      </w:r>
      <w:r>
        <w:rPr>
          <w:rFonts w:hint="eastAsia" w:ascii="宋体"/>
          <w:color w:val="3D3D3D"/>
          <w:kern w:val="0"/>
          <w:sz w:val="13"/>
          <w:szCs w:val="13"/>
        </w:rPr>
        <w:t>符合相关法律法规、监管规定要求的，经销售机构的风险承受能力评估体系评定为适合的个人和机构投资者</w:t>
      </w:r>
      <w:r>
        <w:rPr>
          <w:rFonts w:hint="eastAsia" w:ascii="宋体"/>
          <w:b/>
          <w:bCs/>
          <w:color w:val="3D3D3D"/>
          <w:kern w:val="0"/>
          <w:sz w:val="13"/>
          <w:szCs w:val="13"/>
        </w:rPr>
        <w:t>。</w:t>
      </w:r>
    </w:p>
    <w:p>
      <w:pPr>
        <w:pStyle w:val="35"/>
        <w:widowControl/>
        <w:spacing w:line="200" w:lineRule="exact"/>
        <w:ind w:firstLine="260"/>
        <w:rPr>
          <w:rFonts w:ascii="Times New Roman" w:hAnsi="Times New Roman"/>
          <w:b/>
          <w:bCs/>
          <w:color w:val="3D3D3D"/>
          <w:kern w:val="0"/>
          <w:sz w:val="13"/>
          <w:szCs w:val="13"/>
        </w:rPr>
      </w:pPr>
      <w:r>
        <w:rPr>
          <w:rFonts w:hint="eastAsia" w:ascii="宋体"/>
          <w:b/>
          <w:bCs/>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pPr>
        <w:pStyle w:val="35"/>
        <w:widowControl/>
        <w:spacing w:line="200" w:lineRule="exact"/>
        <w:ind w:firstLine="260"/>
      </w:pPr>
      <w:r>
        <w:rPr>
          <w:rFonts w:hint="eastAsia" w:ascii="宋体"/>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rFonts w:ascii="Times New Roman" w:hAnsi="Times New Roman"/>
          <w:b/>
          <w:bCs/>
          <w:color w:val="3D3D3D"/>
          <w:kern w:val="0"/>
          <w:sz w:val="13"/>
          <w:szCs w:val="13"/>
        </w:rPr>
        <w:t>0</w:t>
      </w:r>
      <w:r>
        <w:rPr>
          <w:rFonts w:hint="eastAsia" w:ascii="宋体"/>
          <w:b/>
          <w:bCs/>
          <w:color w:val="3D3D3D"/>
          <w:kern w:val="0"/>
          <w:sz w:val="13"/>
          <w:szCs w:val="13"/>
        </w:rPr>
        <w:t>，即投资者面临全部本金的损失。为保证当期理财投资者权益而产生的费用由当期理财产品承担。</w:t>
      </w:r>
    </w:p>
    <w:p>
      <w:pPr>
        <w:pStyle w:val="35"/>
        <w:widowControl/>
        <w:spacing w:line="200" w:lineRule="exact"/>
        <w:ind w:firstLine="260"/>
        <w:rPr>
          <w:rFonts w:ascii="Times New Roman" w:hAnsi="Times New Roman"/>
          <w:b/>
          <w:bCs/>
          <w:color w:val="3D3D3D"/>
          <w:kern w:val="0"/>
          <w:sz w:val="13"/>
          <w:szCs w:val="13"/>
        </w:rPr>
      </w:pPr>
      <w:r>
        <w:rPr>
          <w:rFonts w:hint="eastAsia" w:ascii="宋体"/>
          <w:b/>
          <w:bCs/>
          <w:color w:val="3D3D3D"/>
          <w:kern w:val="0"/>
          <w:sz w:val="13"/>
          <w:szCs w:val="13"/>
        </w:rPr>
        <w:t>示例：如投资者购买本理财产品，本金为</w:t>
      </w:r>
      <w:r>
        <w:rPr>
          <w:rFonts w:ascii="Times New Roman" w:hAnsi="Times New Roman"/>
          <w:b/>
          <w:bCs/>
          <w:color w:val="3D3D3D"/>
          <w:kern w:val="0"/>
          <w:sz w:val="13"/>
          <w:szCs w:val="13"/>
        </w:rPr>
        <w:t>1</w:t>
      </w:r>
      <w:r>
        <w:rPr>
          <w:rFonts w:hint="eastAsia" w:ascii="宋体"/>
          <w:b/>
          <w:bCs/>
          <w:color w:val="3D3D3D"/>
          <w:kern w:val="0"/>
          <w:sz w:val="13"/>
          <w:szCs w:val="13"/>
        </w:rPr>
        <w:t>万元，在理财产品资产组合项下资产全部亏损的最不利情况下，理财产品</w:t>
      </w:r>
      <w:r>
        <w:rPr>
          <w:rFonts w:ascii="Times New Roman" w:hAnsi="Times New Roman"/>
          <w:b/>
          <w:bCs/>
          <w:color w:val="3D3D3D"/>
          <w:kern w:val="0"/>
          <w:sz w:val="13"/>
          <w:szCs w:val="13"/>
        </w:rPr>
        <w:t>1</w:t>
      </w:r>
      <w:r>
        <w:rPr>
          <w:rFonts w:hint="eastAsia" w:ascii="宋体"/>
          <w:b/>
          <w:bCs/>
          <w:color w:val="3D3D3D"/>
          <w:kern w:val="0"/>
          <w:sz w:val="13"/>
          <w:szCs w:val="13"/>
        </w:rPr>
        <w:t>万元本金将全部损失。</w:t>
      </w:r>
    </w:p>
    <w:p>
      <w:pPr>
        <w:pStyle w:val="35"/>
        <w:widowControl/>
        <w:spacing w:line="200" w:lineRule="exact"/>
        <w:ind w:firstLine="260"/>
        <w:rPr>
          <w:rFonts w:ascii="Times New Roman" w:hAnsi="Times New Roman"/>
          <w:b/>
          <w:color w:val="3D3D3D"/>
          <w:kern w:val="0"/>
          <w:sz w:val="13"/>
          <w:szCs w:val="13"/>
        </w:rPr>
      </w:pPr>
    </w:p>
    <w:p>
      <w:pPr>
        <w:pStyle w:val="35"/>
        <w:widowControl/>
        <w:spacing w:line="200" w:lineRule="exact"/>
        <w:ind w:firstLine="260"/>
        <w:jc w:val="center"/>
        <w:rPr>
          <w:rFonts w:ascii="Times New Roman" w:hAnsi="Times New Roman"/>
          <w:b/>
          <w:color w:val="3D3D3D"/>
          <w:kern w:val="0"/>
          <w:sz w:val="15"/>
          <w:szCs w:val="15"/>
          <w:u w:val="single"/>
        </w:rPr>
      </w:pPr>
      <w:r>
        <w:rPr>
          <w:rFonts w:hint="eastAsia" w:ascii="宋体"/>
          <w:b/>
          <w:color w:val="3D3D3D"/>
          <w:kern w:val="0"/>
          <w:sz w:val="15"/>
          <w:szCs w:val="15"/>
          <w:u w:val="single"/>
        </w:rPr>
        <w:t>上述风险客观存在，敬请投资者予以充分关注！</w:t>
      </w:r>
    </w:p>
    <w:p>
      <w:pPr>
        <w:pStyle w:val="35"/>
        <w:widowControl/>
        <w:spacing w:line="200" w:lineRule="exact"/>
        <w:ind w:firstLine="260"/>
        <w:jc w:val="center"/>
        <w:rPr>
          <w:rFonts w:ascii="Times New Roman" w:hAnsi="Times New Roman"/>
          <w:b/>
          <w:color w:val="3D3D3D"/>
          <w:kern w:val="0"/>
          <w:sz w:val="15"/>
          <w:szCs w:val="15"/>
          <w:u w:val="single"/>
        </w:rPr>
      </w:pPr>
    </w:p>
    <w:p>
      <w:pPr>
        <w:pStyle w:val="35"/>
        <w:widowControl/>
        <w:spacing w:line="200" w:lineRule="exact"/>
        <w:ind w:firstLine="260"/>
        <w:jc w:val="left"/>
        <w:rPr>
          <w:rFonts w:ascii="Times New Roman" w:hAnsi="Times New Roman"/>
          <w:b/>
          <w:color w:val="3D3D3D"/>
          <w:kern w:val="0"/>
          <w:sz w:val="15"/>
          <w:szCs w:val="15"/>
          <w:u w:val="single"/>
        </w:rPr>
      </w:pPr>
      <w:r>
        <w:rPr>
          <w:rFonts w:hint="eastAsia" w:ascii="宋体"/>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pPr>
        <w:widowControl/>
        <w:spacing w:line="200" w:lineRule="exact"/>
        <w:rPr>
          <w:b/>
          <w:color w:val="3D3D3D"/>
          <w:kern w:val="0"/>
          <w:sz w:val="15"/>
          <w:szCs w:val="15"/>
          <w:u w:val="single"/>
        </w:rPr>
      </w:pPr>
      <w:r>
        <w:rPr>
          <w:rFonts w:hint="eastAsia" w:ascii="宋体"/>
          <w:b/>
          <w:color w:val="3D3D3D"/>
          <w:kern w:val="0"/>
          <w:sz w:val="15"/>
          <w:szCs w:val="15"/>
          <w:u w:val="single"/>
        </w:rPr>
        <w:t>投资者声明：</w:t>
      </w:r>
    </w:p>
    <w:p>
      <w:pPr>
        <w:widowControl/>
        <w:spacing w:line="200" w:lineRule="exact"/>
        <w:ind w:firstLine="420"/>
        <w:rPr>
          <w:b/>
          <w:color w:val="3D3D3D"/>
          <w:kern w:val="0"/>
          <w:sz w:val="15"/>
          <w:szCs w:val="15"/>
          <w:u w:val="single"/>
        </w:rPr>
      </w:pPr>
      <w:r>
        <w:rPr>
          <w:rFonts w:hint="eastAsia" w:ascii="宋体"/>
          <w:b/>
          <w:color w:val="3D3D3D"/>
          <w:kern w:val="0"/>
          <w:sz w:val="15"/>
          <w:szCs w:val="15"/>
        </w:rPr>
        <w:t>1.</w:t>
      </w:r>
      <w:r>
        <w:rPr>
          <w:rFonts w:hint="eastAsia" w:ascii="宋体"/>
          <w:b/>
          <w:color w:val="3D3D3D"/>
          <w:kern w:val="0"/>
          <w:sz w:val="15"/>
          <w:szCs w:val="15"/>
          <w:u w:val="single"/>
        </w:rPr>
        <w:t>本</w:t>
      </w:r>
      <w:r>
        <w:rPr>
          <w:rFonts w:hint="eastAsia" w:ascii="宋体"/>
          <w:b/>
          <w:bCs/>
          <w:color w:val="3D3D3D"/>
          <w:kern w:val="0"/>
          <w:sz w:val="15"/>
          <w:szCs w:val="15"/>
          <w:u w:val="single"/>
        </w:rPr>
        <w:t>投资者</w:t>
      </w:r>
      <w:r>
        <w:rPr>
          <w:rFonts w:hint="eastAsia" w:ascii="宋体"/>
          <w:b/>
          <w:color w:val="3D3D3D"/>
          <w:kern w:val="0"/>
          <w:sz w:val="15"/>
          <w:szCs w:val="15"/>
          <w:u w:val="single"/>
        </w:rPr>
        <w:t>确认，本</w:t>
      </w:r>
      <w:r>
        <w:rPr>
          <w:rFonts w:hint="eastAsia" w:ascii="宋体"/>
          <w:b/>
          <w:bCs/>
          <w:color w:val="3D3D3D"/>
          <w:kern w:val="0"/>
          <w:sz w:val="15"/>
          <w:szCs w:val="15"/>
          <w:u w:val="single"/>
        </w:rPr>
        <w:t>投资者</w:t>
      </w:r>
      <w:r>
        <w:rPr>
          <w:rFonts w:hint="eastAsia" w:ascii="宋体"/>
          <w:b/>
          <w:color w:val="3D3D3D"/>
          <w:kern w:val="0"/>
          <w:sz w:val="15"/>
          <w:szCs w:val="15"/>
          <w:u w:val="single"/>
        </w:rPr>
        <w:t>购买本理财产品为本</w:t>
      </w:r>
      <w:r>
        <w:rPr>
          <w:rFonts w:hint="eastAsia" w:ascii="宋体"/>
          <w:b/>
          <w:bCs/>
          <w:color w:val="3D3D3D"/>
          <w:kern w:val="0"/>
          <w:sz w:val="15"/>
          <w:szCs w:val="15"/>
          <w:u w:val="single"/>
        </w:rPr>
        <w:t>投资者</w:t>
      </w:r>
      <w:r>
        <w:rPr>
          <w:rFonts w:hint="eastAsia" w:ascii="宋体"/>
          <w:b/>
          <w:color w:val="3D3D3D"/>
          <w:kern w:val="0"/>
          <w:sz w:val="15"/>
          <w:szCs w:val="15"/>
          <w:u w:val="single"/>
        </w:rPr>
        <w:t>真实的意思表示</w:t>
      </w:r>
      <w:r>
        <w:rPr>
          <w:b/>
          <w:color w:val="3D3D3D"/>
          <w:kern w:val="0"/>
          <w:sz w:val="15"/>
          <w:szCs w:val="15"/>
          <w:u w:val="single"/>
        </w:rPr>
        <w:t>,</w:t>
      </w:r>
      <w:r>
        <w:rPr>
          <w:rFonts w:hint="eastAsia" w:ascii="宋体"/>
          <w:b/>
          <w:color w:val="3D3D3D"/>
          <w:kern w:val="0"/>
          <w:sz w:val="15"/>
          <w:szCs w:val="15"/>
          <w:u w:val="single"/>
        </w:rPr>
        <w:t>并认为该理财产品完全适合本</w:t>
      </w:r>
      <w:r>
        <w:rPr>
          <w:rFonts w:hint="eastAsia" w:ascii="宋体"/>
          <w:b/>
          <w:bCs/>
          <w:color w:val="3D3D3D"/>
          <w:kern w:val="0"/>
          <w:sz w:val="15"/>
          <w:szCs w:val="15"/>
          <w:u w:val="single"/>
        </w:rPr>
        <w:t>投资者</w:t>
      </w:r>
      <w:r>
        <w:rPr>
          <w:rFonts w:hint="eastAsia" w:ascii="宋体"/>
          <w:b/>
          <w:color w:val="3D3D3D"/>
          <w:kern w:val="0"/>
          <w:sz w:val="15"/>
          <w:szCs w:val="15"/>
          <w:u w:val="single"/>
        </w:rPr>
        <w:t>的投资目标、投资预期以及风险承受能力，本</w:t>
      </w:r>
      <w:r>
        <w:rPr>
          <w:rFonts w:hint="eastAsia" w:ascii="宋体"/>
          <w:b/>
          <w:bCs/>
          <w:color w:val="3D3D3D"/>
          <w:kern w:val="0"/>
          <w:sz w:val="15"/>
          <w:szCs w:val="15"/>
          <w:u w:val="single"/>
        </w:rPr>
        <w:t>投资者</w:t>
      </w:r>
      <w:r>
        <w:rPr>
          <w:rFonts w:hint="eastAsia" w:ascii="宋体"/>
          <w:b/>
          <w:color w:val="3D3D3D"/>
          <w:kern w:val="0"/>
          <w:sz w:val="15"/>
          <w:szCs w:val="15"/>
          <w:u w:val="single"/>
        </w:rPr>
        <w:t>自愿承担由此带来的一切后果。本</w:t>
      </w:r>
      <w:r>
        <w:rPr>
          <w:rFonts w:hint="eastAsia" w:ascii="宋体"/>
          <w:b/>
          <w:bCs/>
          <w:color w:val="3D3D3D"/>
          <w:kern w:val="0"/>
          <w:sz w:val="15"/>
          <w:szCs w:val="15"/>
          <w:u w:val="single"/>
        </w:rPr>
        <w:t>投资者</w:t>
      </w:r>
      <w:r>
        <w:rPr>
          <w:rFonts w:hint="eastAsia" w:ascii="宋体"/>
          <w:b/>
          <w:color w:val="3D3D3D"/>
          <w:kern w:val="0"/>
          <w:sz w:val="15"/>
          <w:szCs w:val="15"/>
          <w:u w:val="single"/>
        </w:rPr>
        <w:t>确认南银理财</w:t>
      </w:r>
      <w:r>
        <w:rPr>
          <w:b/>
          <w:color w:val="3D3D3D"/>
          <w:kern w:val="0"/>
          <w:sz w:val="15"/>
          <w:szCs w:val="15"/>
          <w:u w:val="single"/>
        </w:rPr>
        <w:t>/</w:t>
      </w:r>
      <w:r>
        <w:rPr>
          <w:rFonts w:hint="eastAsia" w:ascii="宋体"/>
          <w:b/>
          <w:color w:val="3D3D3D"/>
          <w:kern w:val="0"/>
          <w:sz w:val="15"/>
          <w:szCs w:val="15"/>
          <w:u w:val="single"/>
        </w:rPr>
        <w:t>销售机构相关业务人员对于理财产品销售文件中限制或排除本</w:t>
      </w:r>
      <w:r>
        <w:rPr>
          <w:rFonts w:hint="eastAsia" w:ascii="宋体"/>
          <w:b/>
          <w:bCs/>
          <w:color w:val="3D3D3D"/>
          <w:kern w:val="0"/>
          <w:sz w:val="15"/>
          <w:szCs w:val="15"/>
          <w:u w:val="single"/>
        </w:rPr>
        <w:t>投资者</w:t>
      </w:r>
      <w:r>
        <w:rPr>
          <w:rFonts w:hint="eastAsia" w:ascii="宋体"/>
          <w:b/>
          <w:color w:val="3D3D3D"/>
          <w:kern w:val="0"/>
          <w:sz w:val="15"/>
          <w:szCs w:val="15"/>
          <w:u w:val="single"/>
        </w:rPr>
        <w:t>权利、增加或加重本</w:t>
      </w:r>
      <w:r>
        <w:rPr>
          <w:rFonts w:hint="eastAsia" w:ascii="宋体"/>
          <w:b/>
          <w:bCs/>
          <w:color w:val="3D3D3D"/>
          <w:kern w:val="0"/>
          <w:sz w:val="15"/>
          <w:szCs w:val="15"/>
          <w:u w:val="single"/>
        </w:rPr>
        <w:t>投资者</w:t>
      </w:r>
      <w:r>
        <w:rPr>
          <w:rFonts w:hint="eastAsia" w:ascii="宋体"/>
          <w:b/>
          <w:color w:val="3D3D3D"/>
          <w:kern w:val="0"/>
          <w:sz w:val="15"/>
          <w:szCs w:val="15"/>
          <w:u w:val="single"/>
        </w:rPr>
        <w:t>义务或责任以及有关免除或减轻南银理财责任或南银理财单方面拥有某些权利的条款已向本人予以说明，本</w:t>
      </w:r>
      <w:r>
        <w:rPr>
          <w:rFonts w:hint="eastAsia" w:ascii="宋体"/>
          <w:b/>
          <w:bCs/>
          <w:color w:val="3D3D3D"/>
          <w:kern w:val="0"/>
          <w:sz w:val="15"/>
          <w:szCs w:val="15"/>
          <w:u w:val="single"/>
        </w:rPr>
        <w:t>投资者</w:t>
      </w:r>
      <w:r>
        <w:rPr>
          <w:rFonts w:hint="eastAsia" w:ascii="宋体"/>
          <w:b/>
          <w:color w:val="3D3D3D"/>
          <w:kern w:val="0"/>
          <w:sz w:val="15"/>
          <w:szCs w:val="15"/>
          <w:u w:val="single"/>
        </w:rPr>
        <w:t>已完全理解并自愿接受。</w:t>
      </w:r>
    </w:p>
    <w:p>
      <w:pPr>
        <w:widowControl/>
        <w:spacing w:line="200" w:lineRule="exact"/>
        <w:ind w:firstLine="420"/>
        <w:rPr>
          <w:b/>
          <w:color w:val="3D3D3D"/>
          <w:kern w:val="0"/>
          <w:sz w:val="15"/>
          <w:szCs w:val="15"/>
          <w:u w:val="single"/>
        </w:rPr>
      </w:pPr>
      <w:r>
        <w:rPr>
          <w:rFonts w:hint="eastAsia" w:ascii="宋体"/>
          <w:b/>
          <w:color w:val="3D3D3D"/>
          <w:kern w:val="0"/>
          <w:sz w:val="15"/>
          <w:szCs w:val="15"/>
        </w:rPr>
        <w:t>2.</w:t>
      </w:r>
      <w:r>
        <w:rPr>
          <w:rFonts w:hint="eastAsia" w:ascii="宋体"/>
          <w:b/>
          <w:color w:val="3D3D3D"/>
          <w:kern w:val="0"/>
          <w:sz w:val="15"/>
          <w:szCs w:val="15"/>
          <w:u w:val="single"/>
        </w:rPr>
        <w:t>本</w:t>
      </w:r>
      <w:r>
        <w:rPr>
          <w:rFonts w:hint="eastAsia" w:ascii="宋体"/>
          <w:b/>
          <w:bCs/>
          <w:color w:val="3D3D3D"/>
          <w:kern w:val="0"/>
          <w:sz w:val="15"/>
          <w:szCs w:val="15"/>
          <w:u w:val="single"/>
        </w:rPr>
        <w:t>投资者</w:t>
      </w:r>
      <w:r>
        <w:rPr>
          <w:rFonts w:hint="eastAsia" w:ascii="宋体"/>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ascii="宋体"/>
          <w:b/>
          <w:color w:val="3D3D3D"/>
          <w:kern w:val="0"/>
          <w:sz w:val="15"/>
          <w:szCs w:val="15"/>
          <w:u w:val="single"/>
        </w:rPr>
        <w:t>申购</w:t>
      </w:r>
      <w:r>
        <w:rPr>
          <w:b/>
          <w:color w:val="3D3D3D"/>
          <w:kern w:val="0"/>
          <w:sz w:val="15"/>
          <w:szCs w:val="15"/>
          <w:u w:val="single"/>
        </w:rPr>
        <w:t>/</w:t>
      </w:r>
      <w:r>
        <w:rPr>
          <w:rFonts w:hint="eastAsia" w:ascii="宋体"/>
          <w:b/>
          <w:color w:val="3D3D3D"/>
          <w:kern w:val="0"/>
          <w:sz w:val="15"/>
          <w:szCs w:val="15"/>
          <w:u w:val="single"/>
        </w:rPr>
        <w:t>赎回等决定，自主承担投资风险。本</w:t>
      </w:r>
      <w:r>
        <w:rPr>
          <w:rFonts w:hint="eastAsia" w:ascii="宋体"/>
          <w:b/>
          <w:bCs/>
          <w:color w:val="3D3D3D"/>
          <w:kern w:val="0"/>
          <w:sz w:val="15"/>
          <w:szCs w:val="15"/>
          <w:u w:val="single"/>
        </w:rPr>
        <w:t>投资者</w:t>
      </w:r>
      <w:r>
        <w:rPr>
          <w:rFonts w:hint="eastAsia" w:ascii="宋体"/>
          <w:b/>
          <w:color w:val="3D3D3D"/>
          <w:kern w:val="0"/>
          <w:sz w:val="15"/>
          <w:szCs w:val="15"/>
          <w:u w:val="single"/>
        </w:rPr>
        <w:t>拒绝向销售机构提供或者未按照要求提供信息的，销售机构有权告知本</w:t>
      </w:r>
      <w:r>
        <w:rPr>
          <w:rFonts w:hint="eastAsia" w:ascii="宋体"/>
          <w:b/>
          <w:bCs/>
          <w:color w:val="3D3D3D"/>
          <w:kern w:val="0"/>
          <w:sz w:val="15"/>
          <w:szCs w:val="15"/>
          <w:u w:val="single"/>
        </w:rPr>
        <w:t>投资者</w:t>
      </w:r>
      <w:r>
        <w:rPr>
          <w:rFonts w:hint="eastAsia" w:ascii="宋体"/>
          <w:b/>
          <w:color w:val="3D3D3D"/>
          <w:kern w:val="0"/>
          <w:sz w:val="15"/>
          <w:szCs w:val="15"/>
          <w:u w:val="single"/>
        </w:rPr>
        <w:t>相应的后果和责任，并有权拒绝向本</w:t>
      </w:r>
      <w:r>
        <w:rPr>
          <w:rFonts w:hint="eastAsia" w:ascii="宋体"/>
          <w:b/>
          <w:bCs/>
          <w:color w:val="3D3D3D"/>
          <w:kern w:val="0"/>
          <w:sz w:val="15"/>
          <w:szCs w:val="15"/>
          <w:u w:val="single"/>
        </w:rPr>
        <w:t>投资者</w:t>
      </w:r>
      <w:r>
        <w:rPr>
          <w:rFonts w:hint="eastAsia" w:ascii="宋体"/>
          <w:b/>
          <w:color w:val="3D3D3D"/>
          <w:kern w:val="0"/>
          <w:sz w:val="15"/>
          <w:szCs w:val="15"/>
          <w:u w:val="single"/>
        </w:rPr>
        <w:t>提供销售服务。</w:t>
      </w:r>
    </w:p>
    <w:p>
      <w:pPr>
        <w:widowControl/>
        <w:spacing w:line="200" w:lineRule="exact"/>
        <w:ind w:firstLine="420"/>
        <w:rPr>
          <w:rFonts w:hint="eastAsia" w:ascii="Dialog" w:hAnsi="Dialog"/>
          <w:b/>
          <w:color w:val="3D3D3D"/>
          <w:kern w:val="0"/>
          <w:sz w:val="15"/>
          <w:szCs w:val="15"/>
          <w:u w:val="single"/>
        </w:rPr>
      </w:pPr>
      <w:r>
        <w:rPr>
          <w:rFonts w:hint="eastAsia" w:ascii="宋体"/>
          <w:b/>
          <w:color w:val="3D3D3D"/>
          <w:kern w:val="0"/>
          <w:sz w:val="15"/>
          <w:szCs w:val="15"/>
        </w:rPr>
        <w:t>3.</w:t>
      </w:r>
      <w:r>
        <w:rPr>
          <w:rFonts w:hint="eastAsia" w:ascii="宋体"/>
          <w:b/>
          <w:color w:val="3D3D3D"/>
          <w:kern w:val="0"/>
          <w:sz w:val="15"/>
          <w:szCs w:val="15"/>
          <w:u w:val="single"/>
        </w:rPr>
        <w:t>本投资者确认，投资本理财产品的资金非贷款、发行债券等募集的非自有资金。</w:t>
      </w:r>
    </w:p>
    <w:p>
      <w:pPr>
        <w:widowControl/>
        <w:spacing w:line="200" w:lineRule="exact"/>
        <w:ind w:firstLine="420"/>
        <w:rPr>
          <w:b/>
          <w:color w:val="3D3D3D"/>
          <w:kern w:val="0"/>
          <w:sz w:val="15"/>
          <w:szCs w:val="15"/>
          <w:u w:val="single"/>
        </w:rPr>
      </w:pPr>
      <w:r>
        <w:rPr>
          <w:rFonts w:hint="eastAsia" w:ascii="宋体"/>
          <w:b/>
          <w:color w:val="3D3D3D"/>
          <w:kern w:val="0"/>
          <w:sz w:val="15"/>
          <w:szCs w:val="15"/>
        </w:rPr>
        <w:t>4.</w:t>
      </w:r>
      <w:r>
        <w:rPr>
          <w:rFonts w:hint="eastAsia" w:ascii="宋体"/>
          <w:b/>
          <w:color w:val="3D3D3D"/>
          <w:kern w:val="0"/>
          <w:sz w:val="15"/>
          <w:szCs w:val="15"/>
          <w:u w:val="single"/>
        </w:rPr>
        <w:t>本投资者在购买本理财产品前已完成风险承受能力评估，且该评估结果具有效力。本投资者的风险评级结果为    （低、</w:t>
      </w:r>
      <w:r>
        <w:rPr>
          <w:rFonts w:hint="eastAsia"/>
          <w:b/>
          <w:color w:val="3D3D3D"/>
          <w:kern w:val="0"/>
          <w:sz w:val="15"/>
          <w:szCs w:val="15"/>
          <w:u w:val="single"/>
        </w:rPr>
        <w:t xml:space="preserve"> </w:t>
      </w:r>
      <w:r>
        <w:rPr>
          <w:rFonts w:hint="eastAsia" w:ascii="宋体"/>
          <w:b/>
          <w:color w:val="3D3D3D"/>
          <w:kern w:val="0"/>
          <w:sz w:val="15"/>
          <w:szCs w:val="15"/>
          <w:u w:val="single"/>
        </w:rPr>
        <w:t>中低、中、中高、高）。如果影响本投资者风险承受能力的因素发生变化，本投资者将及时完成风险承受能力评估，否则由此产生的责任和风险由本投资者自行承担。（仅由个人投资者亲自填写）</w:t>
      </w:r>
    </w:p>
    <w:p>
      <w:pPr>
        <w:widowControl/>
        <w:spacing w:line="200" w:lineRule="exact"/>
        <w:ind w:firstLine="420"/>
        <w:rPr>
          <w:b/>
          <w:color w:val="3D3D3D"/>
          <w:kern w:val="0"/>
          <w:sz w:val="15"/>
          <w:szCs w:val="15"/>
          <w:u w:val="single"/>
        </w:rPr>
      </w:pPr>
      <w:r>
        <w:rPr>
          <w:rFonts w:hint="eastAsia" w:ascii="宋体"/>
          <w:b/>
          <w:color w:val="3D3D3D"/>
          <w:kern w:val="0"/>
          <w:sz w:val="15"/>
          <w:szCs w:val="15"/>
        </w:rPr>
        <w:t>5.</w:t>
      </w:r>
      <w:r>
        <w:rPr>
          <w:rFonts w:hint="eastAsia" w:ascii="宋体"/>
          <w:b/>
          <w:color w:val="3D3D3D"/>
          <w:kern w:val="0"/>
          <w:sz w:val="15"/>
          <w:szCs w:val="15"/>
          <w:u w:val="single"/>
        </w:rPr>
        <w:t>本投资者已认真阅读并充分理解本风险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pPr>
        <w:widowControl/>
        <w:spacing w:line="200" w:lineRule="exact"/>
        <w:ind w:firstLine="420"/>
        <w:rPr>
          <w:b/>
          <w:color w:val="3D3D3D"/>
          <w:kern w:val="0"/>
          <w:sz w:val="15"/>
          <w:szCs w:val="15"/>
          <w:u w:val="single"/>
        </w:rPr>
      </w:pPr>
      <w:r>
        <w:rPr>
          <w:rFonts w:hint="eastAsia" w:ascii="宋体"/>
          <w:b/>
          <w:color w:val="3D3D3D"/>
          <w:kern w:val="0"/>
          <w:sz w:val="15"/>
          <w:szCs w:val="15"/>
        </w:rPr>
        <w:t>6.</w:t>
      </w:r>
      <w:r>
        <w:rPr>
          <w:rFonts w:hint="eastAsia" w:ascii="宋体"/>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pPr>
        <w:widowControl/>
        <w:spacing w:line="200" w:lineRule="exact"/>
        <w:ind w:firstLine="420"/>
        <w:rPr>
          <w:rFonts w:hint="eastAsia" w:ascii="Dialog" w:hAnsi="Dialog"/>
          <w:b/>
          <w:color w:val="3D3D3D"/>
          <w:kern w:val="0"/>
          <w:sz w:val="15"/>
          <w:szCs w:val="15"/>
          <w:u w:val="single"/>
        </w:rPr>
      </w:pPr>
      <w:r>
        <w:rPr>
          <w:rFonts w:hint="eastAsia" w:ascii="宋体"/>
          <w:b/>
          <w:color w:val="3D3D3D"/>
          <w:kern w:val="0"/>
          <w:sz w:val="15"/>
          <w:szCs w:val="15"/>
        </w:rPr>
        <w:t>7.</w:t>
      </w:r>
      <w:r>
        <w:rPr>
          <w:rFonts w:hint="eastAsia" w:ascii="宋体"/>
          <w:b/>
          <w:color w:val="3D3D3D"/>
          <w:kern w:val="0"/>
          <w:sz w:val="15"/>
          <w:szCs w:val="15"/>
          <w:u w:val="single"/>
        </w:rPr>
        <w:t>如销售机构为管理人关联方的，本投资者认可此等关联方及关联交易情形的存在并自愿承担相关投资风险。</w:t>
      </w:r>
    </w:p>
    <w:p>
      <w:pPr>
        <w:widowControl/>
        <w:spacing w:line="200" w:lineRule="exact"/>
        <w:ind w:firstLine="420"/>
        <w:rPr>
          <w:color w:val="3D3D3D"/>
          <w:kern w:val="0"/>
          <w:sz w:val="15"/>
          <w:szCs w:val="15"/>
          <w:u w:val="single"/>
        </w:rPr>
      </w:pPr>
      <w:r>
        <w:rPr>
          <w:rFonts w:hint="eastAsia" w:ascii="宋体"/>
          <w:color w:val="3D3D3D"/>
          <w:kern w:val="0"/>
          <w:sz w:val="15"/>
          <w:szCs w:val="15"/>
        </w:rPr>
        <w:t>8.以下划线部分，请投资者抄录确认：</w:t>
      </w:r>
      <w:r>
        <w:rPr>
          <w:color w:val="3D3D3D"/>
          <w:kern w:val="0"/>
          <w:sz w:val="15"/>
          <w:szCs w:val="15"/>
        </w:rPr>
        <w:t>“</w:t>
      </w:r>
      <w:r>
        <w:rPr>
          <w:rFonts w:hint="eastAsia" w:ascii="宋体"/>
          <w:b/>
          <w:color w:val="3D3D3D"/>
          <w:kern w:val="0"/>
          <w:sz w:val="15"/>
          <w:szCs w:val="15"/>
          <w:u w:val="single"/>
        </w:rPr>
        <w:t>本人已经阅读风险揭示，愿意承担投资风险</w:t>
      </w:r>
      <w:r>
        <w:rPr>
          <w:color w:val="3D3D3D"/>
          <w:kern w:val="0"/>
          <w:sz w:val="15"/>
          <w:szCs w:val="15"/>
        </w:rPr>
        <w:t>”</w:t>
      </w:r>
      <w:r>
        <w:rPr>
          <w:rFonts w:hint="eastAsia" w:ascii="宋体"/>
          <w:color w:val="3D3D3D"/>
          <w:kern w:val="0"/>
          <w:sz w:val="15"/>
          <w:szCs w:val="15"/>
        </w:rPr>
        <w:t>。</w:t>
      </w:r>
    </w:p>
    <w:p>
      <w:pPr>
        <w:widowControl/>
        <w:spacing w:line="200" w:lineRule="exact"/>
        <w:ind w:firstLine="210"/>
        <w:rPr>
          <w:color w:val="3D3D3D"/>
          <w:kern w:val="0"/>
          <w:sz w:val="15"/>
          <w:szCs w:val="15"/>
        </w:rPr>
      </w:pPr>
      <w:r>
        <w:rPr>
          <w:rFonts w:hint="eastAsia"/>
          <w:color w:val="3D3D3D"/>
          <w:kern w:val="0"/>
          <w:sz w:val="15"/>
          <w:szCs w:val="15"/>
        </w:rPr>
        <w:t xml:space="preserve">         </w:t>
      </w:r>
    </w:p>
    <w:p>
      <w:pPr>
        <w:widowControl/>
        <w:spacing w:line="200" w:lineRule="exact"/>
        <w:ind w:firstLine="210"/>
        <w:rPr>
          <w:color w:val="3D3D3D"/>
          <w:kern w:val="0"/>
          <w:sz w:val="15"/>
          <w:szCs w:val="15"/>
        </w:rPr>
      </w:pPr>
    </w:p>
    <w:p>
      <w:pPr>
        <w:widowControl/>
        <w:spacing w:line="200" w:lineRule="exact"/>
        <w:ind w:firstLine="210"/>
        <w:rPr>
          <w:color w:val="3D3D3D"/>
          <w:kern w:val="0"/>
          <w:sz w:val="15"/>
          <w:szCs w:val="15"/>
        </w:rPr>
      </w:pPr>
      <w:r>
        <w:rPr>
          <w:rFonts w:hint="eastAsia" w:ascii="宋体"/>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pPr>
        <w:widowControl/>
        <w:spacing w:line="200" w:lineRule="exact"/>
        <w:ind w:firstLine="210"/>
        <w:rPr>
          <w:color w:val="3D3D3D"/>
          <w:kern w:val="0"/>
          <w:sz w:val="13"/>
          <w:szCs w:val="13"/>
        </w:rPr>
      </w:pPr>
    </w:p>
    <w:p>
      <w:pPr>
        <w:widowControl/>
        <w:spacing w:line="200" w:lineRule="exact"/>
        <w:ind w:firstLine="210"/>
        <w:jc w:val="left"/>
        <w:rPr>
          <w:color w:val="3D3D3D"/>
          <w:kern w:val="0"/>
          <w:sz w:val="13"/>
          <w:szCs w:val="13"/>
        </w:rPr>
      </w:pPr>
    </w:p>
    <w:p>
      <w:pPr>
        <w:widowControl/>
        <w:spacing w:line="200" w:lineRule="exact"/>
        <w:ind w:firstLine="210"/>
        <w:jc w:val="left"/>
        <w:rPr>
          <w:color w:val="3D3D3D"/>
          <w:kern w:val="0"/>
          <w:sz w:val="13"/>
          <w:szCs w:val="13"/>
        </w:rPr>
      </w:pPr>
    </w:p>
    <w:tbl>
      <w:tblPr>
        <w:tblStyle w:val="15"/>
        <w:tblW w:w="9287" w:type="dxa"/>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534" w:hRule="atLeast"/>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b/>
                <w:sz w:val="15"/>
                <w:szCs w:val="15"/>
              </w:rPr>
            </w:pPr>
            <w:r>
              <w:rPr>
                <w:rFonts w:hint="eastAsia" w:ascii="宋体"/>
                <w:b/>
                <w:sz w:val="15"/>
                <w:szCs w:val="15"/>
              </w:rPr>
              <w:t>个人投资者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9287" w:type="dxa"/>
            <w:tcBorders>
              <w:top w:val="single" w:color="auto" w:sz="4" w:space="0"/>
              <w:left w:val="single" w:color="auto" w:sz="4" w:space="0"/>
              <w:bottom w:val="single" w:color="auto" w:sz="4" w:space="0"/>
              <w:right w:val="single" w:color="auto" w:sz="4" w:space="0"/>
              <w:tl2br w:val="nil"/>
              <w:tr2bl w:val="nil"/>
            </w:tcBorders>
          </w:tcPr>
          <w:p>
            <w:pPr>
              <w:widowControl/>
              <w:spacing w:line="360" w:lineRule="auto"/>
              <w:rPr>
                <w:color w:val="3D3D3D"/>
                <w:kern w:val="0"/>
                <w:sz w:val="13"/>
                <w:szCs w:val="13"/>
              </w:rPr>
            </w:pPr>
            <w:r>
              <w:rPr>
                <w:rFonts w:hint="eastAsia" w:ascii="宋体"/>
                <w:sz w:val="15"/>
                <w:szCs w:val="15"/>
              </w:rPr>
              <w:t>签名：</w:t>
            </w:r>
          </w:p>
          <w:p>
            <w:pPr>
              <w:widowControl/>
              <w:spacing w:line="360" w:lineRule="auto"/>
              <w:ind w:firstLine="130" w:firstLineChars="100"/>
              <w:rPr>
                <w:rFonts w:eastAsia="仿宋"/>
                <w:sz w:val="15"/>
                <w:szCs w:val="15"/>
              </w:rPr>
            </w:pPr>
            <w:r>
              <w:rPr>
                <w:rFonts w:hint="eastAsia" w:ascii="宋体"/>
                <w:color w:val="3D3D3D"/>
                <w:kern w:val="0"/>
                <w:sz w:val="13"/>
                <w:szCs w:val="13"/>
              </w:rPr>
              <w:t>年</w:t>
            </w:r>
            <w:r>
              <w:rPr>
                <w:color w:val="3D3D3D"/>
                <w:kern w:val="0"/>
                <w:sz w:val="13"/>
                <w:szCs w:val="13"/>
              </w:rPr>
              <w:t xml:space="preserve">   </w:t>
            </w:r>
            <w:r>
              <w:rPr>
                <w:rFonts w:hint="eastAsia" w:ascii="宋体"/>
                <w:color w:val="3D3D3D"/>
                <w:kern w:val="0"/>
                <w:sz w:val="13"/>
                <w:szCs w:val="13"/>
              </w:rPr>
              <w:t>月</w:t>
            </w:r>
            <w:r>
              <w:rPr>
                <w:color w:val="3D3D3D"/>
                <w:kern w:val="0"/>
                <w:sz w:val="13"/>
                <w:szCs w:val="13"/>
              </w:rPr>
              <w:t xml:space="preserve">    </w:t>
            </w:r>
            <w:r>
              <w:rPr>
                <w:rFonts w:hint="eastAsia" w:ascii="宋体"/>
                <w:color w:val="3D3D3D"/>
                <w:kern w:val="0"/>
                <w:sz w:val="13"/>
                <w:szCs w:val="13"/>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571" w:hRule="atLeast"/>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sz w:val="15"/>
                <w:szCs w:val="15"/>
              </w:rPr>
            </w:pPr>
            <w:r>
              <w:rPr>
                <w:rFonts w:hint="eastAsia" w:ascii="宋体"/>
                <w:b/>
                <w:bCs/>
                <w:color w:val="3D3D3D"/>
                <w:kern w:val="0"/>
                <w:sz w:val="15"/>
                <w:szCs w:val="15"/>
              </w:rPr>
              <w:t>机构投资者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9287" w:type="dxa"/>
            <w:tcBorders>
              <w:top w:val="single" w:color="auto" w:sz="4" w:space="0"/>
              <w:left w:val="single" w:color="auto" w:sz="4" w:space="0"/>
              <w:bottom w:val="single" w:color="auto" w:sz="4" w:space="0"/>
              <w:right w:val="single" w:color="auto" w:sz="4" w:space="0"/>
              <w:tl2br w:val="nil"/>
              <w:tr2bl w:val="nil"/>
            </w:tcBorders>
          </w:tcPr>
          <w:p>
            <w:pPr>
              <w:widowControl/>
              <w:spacing w:line="200" w:lineRule="exact"/>
              <w:jc w:val="left"/>
              <w:rPr>
                <w:b/>
                <w:bCs/>
                <w:color w:val="3D3D3D"/>
                <w:kern w:val="0"/>
                <w:sz w:val="15"/>
                <w:szCs w:val="15"/>
              </w:rPr>
            </w:pPr>
          </w:p>
          <w:p>
            <w:pPr>
              <w:widowControl/>
              <w:spacing w:line="200" w:lineRule="exact"/>
              <w:jc w:val="left"/>
              <w:rPr>
                <w:b/>
                <w:bCs/>
                <w:color w:val="3D3D3D"/>
                <w:kern w:val="0"/>
                <w:sz w:val="15"/>
                <w:szCs w:val="15"/>
              </w:rPr>
            </w:pPr>
            <w:r>
              <w:rPr>
                <w:rFonts w:hint="eastAsia" w:ascii="宋体"/>
                <w:b/>
                <w:bCs/>
                <w:color w:val="3D3D3D"/>
                <w:kern w:val="0"/>
                <w:sz w:val="15"/>
                <w:szCs w:val="15"/>
              </w:rPr>
              <w:t>盖章（公章）</w:t>
            </w:r>
          </w:p>
          <w:p>
            <w:pPr>
              <w:widowControl/>
              <w:spacing w:line="200" w:lineRule="exact"/>
              <w:jc w:val="left"/>
              <w:rPr>
                <w:b/>
                <w:bCs/>
                <w:color w:val="3D3D3D"/>
                <w:kern w:val="0"/>
                <w:sz w:val="15"/>
                <w:szCs w:val="15"/>
              </w:rPr>
            </w:pPr>
          </w:p>
          <w:p>
            <w:pPr>
              <w:widowControl/>
              <w:spacing w:line="200" w:lineRule="exact"/>
              <w:jc w:val="left"/>
              <w:rPr>
                <w:b/>
                <w:bCs/>
                <w:color w:val="3D3D3D"/>
                <w:kern w:val="0"/>
                <w:sz w:val="15"/>
                <w:szCs w:val="15"/>
              </w:rPr>
            </w:pPr>
            <w:r>
              <w:rPr>
                <w:rFonts w:hint="eastAsia" w:ascii="宋体"/>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pPr>
              <w:widowControl/>
              <w:spacing w:line="200" w:lineRule="exact"/>
              <w:jc w:val="left"/>
              <w:rPr>
                <w:color w:val="3D3D3D"/>
                <w:kern w:val="0"/>
                <w:sz w:val="13"/>
                <w:szCs w:val="13"/>
              </w:rPr>
            </w:pPr>
          </w:p>
          <w:p>
            <w:pPr>
              <w:widowControl/>
              <w:spacing w:line="200" w:lineRule="exact"/>
              <w:jc w:val="left"/>
              <w:rPr>
                <w:rFonts w:eastAsia="仿宋"/>
                <w:sz w:val="15"/>
                <w:szCs w:val="15"/>
              </w:rPr>
            </w:pPr>
            <w:r>
              <w:rPr>
                <w:color w:val="3D3D3D"/>
                <w:kern w:val="0"/>
                <w:sz w:val="13"/>
                <w:szCs w:val="13"/>
              </w:rPr>
              <w:t xml:space="preserve">      </w:t>
            </w:r>
            <w:r>
              <w:rPr>
                <w:rFonts w:hint="eastAsia" w:ascii="宋体"/>
                <w:color w:val="3D3D3D"/>
                <w:kern w:val="0"/>
                <w:sz w:val="13"/>
                <w:szCs w:val="13"/>
              </w:rPr>
              <w:t>年</w:t>
            </w:r>
            <w:r>
              <w:rPr>
                <w:color w:val="3D3D3D"/>
                <w:kern w:val="0"/>
                <w:sz w:val="13"/>
                <w:szCs w:val="13"/>
              </w:rPr>
              <w:t xml:space="preserve">   </w:t>
            </w:r>
            <w:r>
              <w:rPr>
                <w:rFonts w:hint="eastAsia" w:ascii="宋体"/>
                <w:color w:val="3D3D3D"/>
                <w:kern w:val="0"/>
                <w:sz w:val="13"/>
                <w:szCs w:val="13"/>
              </w:rPr>
              <w:t>月</w:t>
            </w:r>
            <w:r>
              <w:rPr>
                <w:color w:val="3D3D3D"/>
                <w:kern w:val="0"/>
                <w:sz w:val="13"/>
                <w:szCs w:val="13"/>
              </w:rPr>
              <w:t xml:space="preserve">    </w:t>
            </w:r>
            <w:r>
              <w:rPr>
                <w:rFonts w:hint="eastAsia" w:ascii="宋体"/>
                <w:color w:val="3D3D3D"/>
                <w:kern w:val="0"/>
                <w:sz w:val="13"/>
                <w:szCs w:val="13"/>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11" w:hRule="atLeast"/>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sz w:val="15"/>
                <w:szCs w:val="15"/>
              </w:rPr>
            </w:pPr>
            <w:r>
              <w:rPr>
                <w:rFonts w:hint="eastAsia" w:ascii="宋体"/>
                <w:b/>
                <w:bCs/>
                <w:sz w:val="15"/>
                <w:szCs w:val="15"/>
              </w:rPr>
              <w:t>电子渠道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9287" w:type="dxa"/>
            <w:tcBorders>
              <w:top w:val="single" w:color="auto" w:sz="4" w:space="0"/>
              <w:left w:val="single" w:color="auto" w:sz="4" w:space="0"/>
              <w:bottom w:val="single" w:color="auto" w:sz="4" w:space="0"/>
              <w:right w:val="single" w:color="auto" w:sz="4" w:space="0"/>
              <w:tl2br w:val="nil"/>
              <w:tr2bl w:val="nil"/>
            </w:tcBorders>
          </w:tcPr>
          <w:p>
            <w:pPr>
              <w:widowControl/>
              <w:spacing w:line="200" w:lineRule="exact"/>
              <w:ind w:firstLine="300" w:firstLineChars="200"/>
              <w:rPr>
                <w:rFonts w:eastAsia="仿宋"/>
                <w:sz w:val="15"/>
                <w:szCs w:val="15"/>
              </w:rPr>
            </w:pPr>
            <w:r>
              <w:rPr>
                <w:rFonts w:hint="eastAsia" w:ascii="宋体"/>
                <w:b/>
                <w:color w:val="3D3D3D"/>
                <w:kern w:val="0"/>
                <w:sz w:val="15"/>
                <w:szCs w:val="15"/>
                <w:u w:val="single"/>
              </w:rPr>
              <w:t>如投资者通过电子渠道（包括但不限于网上银行、手机银行或官方网站等）购买本理财产品的，</w:t>
            </w:r>
            <w:r>
              <w:rPr>
                <w:rFonts w:hint="eastAsia" w:ascii="宋体"/>
                <w:spacing w:val="10"/>
                <w:sz w:val="15"/>
                <w:szCs w:val="15"/>
              </w:rPr>
              <w:t>本风险揭示书以数据电文形式订立，</w:t>
            </w:r>
            <w:r>
              <w:rPr>
                <w:rFonts w:hint="eastAsia" w:ascii="宋体"/>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ascii="宋体"/>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p>
      <w:pPr>
        <w:widowControl/>
        <w:jc w:val="left"/>
        <w:rPr>
          <w:rFonts w:ascii="黑体" w:eastAsia="黑体"/>
          <w:b/>
          <w:bCs/>
          <w:kern w:val="0"/>
          <w:sz w:val="24"/>
          <w:szCs w:val="24"/>
        </w:rPr>
      </w:pPr>
      <w:r>
        <w:rPr>
          <w:rFonts w:ascii="黑体" w:eastAsia="黑体"/>
          <w:b/>
          <w:bCs/>
          <w:kern w:val="0"/>
          <w:sz w:val="24"/>
          <w:szCs w:val="24"/>
        </w:rPr>
        <w:br w:type="page"/>
      </w:r>
    </w:p>
    <w:p>
      <w:pPr>
        <w:spacing w:line="0" w:lineRule="atLeast"/>
        <w:jc w:val="center"/>
        <w:rPr>
          <w:rFonts w:eastAsia="黑体"/>
          <w:b/>
          <w:bCs/>
          <w:kern w:val="0"/>
          <w:sz w:val="24"/>
          <w:szCs w:val="24"/>
        </w:rPr>
      </w:pPr>
      <w:r>
        <w:rPr>
          <w:rFonts w:hint="eastAsia" w:ascii="黑体" w:eastAsia="黑体"/>
          <w:b/>
          <w:bCs/>
          <w:kern w:val="0"/>
          <w:sz w:val="24"/>
          <w:szCs w:val="24"/>
        </w:rPr>
        <w:t>理财产品说明书</w:t>
      </w:r>
    </w:p>
    <w:p>
      <w:pPr>
        <w:spacing w:line="0" w:lineRule="atLeast"/>
        <w:jc w:val="center"/>
        <w:rPr>
          <w:rFonts w:eastAsia="黑体"/>
          <w:b/>
          <w:bCs/>
          <w:i/>
          <w:iCs/>
          <w:kern w:val="0"/>
          <w:sz w:val="24"/>
          <w:szCs w:val="24"/>
          <w:u w:val="single"/>
        </w:rPr>
      </w:pPr>
      <w:r>
        <w:rPr>
          <w:rFonts w:eastAsia="黑体"/>
          <w:b/>
          <w:bCs/>
          <w:i/>
          <w:iCs/>
          <w:kern w:val="0"/>
          <w:sz w:val="24"/>
          <w:szCs w:val="24"/>
          <w:u w:val="single"/>
        </w:rPr>
        <w:t>“</w:t>
      </w:r>
      <w:r>
        <w:rPr>
          <w:rFonts w:hint="eastAsia" w:ascii="黑体" w:eastAsia="黑体"/>
          <w:b/>
          <w:bCs/>
          <w:i/>
          <w:iCs/>
          <w:kern w:val="0"/>
          <w:sz w:val="24"/>
          <w:szCs w:val="24"/>
          <w:u w:val="single"/>
        </w:rPr>
        <w:t>理财非存款、产品有风险、投资须谨慎</w:t>
      </w:r>
      <w:r>
        <w:rPr>
          <w:rFonts w:eastAsia="黑体"/>
          <w:b/>
          <w:bCs/>
          <w:i/>
          <w:iCs/>
          <w:kern w:val="0"/>
          <w:sz w:val="24"/>
          <w:szCs w:val="24"/>
          <w:u w:val="single"/>
        </w:rPr>
        <w:t>”</w:t>
      </w:r>
      <w:r>
        <w:rPr>
          <w:rFonts w:hint="eastAsia" w:ascii="黑体" w:eastAsia="黑体"/>
          <w:b/>
          <w:bCs/>
          <w:i/>
          <w:iCs/>
          <w:kern w:val="0"/>
          <w:sz w:val="24"/>
          <w:szCs w:val="24"/>
          <w:u w:val="single"/>
        </w:rPr>
        <w:t>！</w:t>
      </w:r>
    </w:p>
    <w:p>
      <w:pPr>
        <w:pStyle w:val="14"/>
        <w:spacing w:line="200" w:lineRule="exact"/>
        <w:ind w:firstLine="0"/>
        <w:jc w:val="both"/>
        <w:rPr>
          <w:b/>
          <w:color w:val="3D3D3D"/>
          <w:sz w:val="15"/>
          <w:szCs w:val="15"/>
        </w:rPr>
      </w:pPr>
      <w:r>
        <w:rPr>
          <w:rFonts w:hint="eastAsia" w:ascii="宋体"/>
          <w:b/>
          <w:color w:val="3D3D3D"/>
          <w:sz w:val="15"/>
          <w:szCs w:val="15"/>
        </w:rPr>
        <w:t>第一条</w:t>
      </w:r>
      <w:r>
        <w:rPr>
          <w:b/>
          <w:color w:val="3D3D3D"/>
          <w:sz w:val="15"/>
          <w:szCs w:val="15"/>
        </w:rPr>
        <w:t xml:space="preserve">  </w:t>
      </w:r>
      <w:r>
        <w:rPr>
          <w:rFonts w:hint="eastAsia" w:ascii="宋体"/>
          <w:b/>
          <w:color w:val="3D3D3D"/>
          <w:sz w:val="15"/>
          <w:szCs w:val="15"/>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40" w:hRule="atLeast"/>
          <w:jc w:val="center"/>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pPr>
              <w:widowControl/>
              <w:spacing w:line="200" w:lineRule="exact"/>
              <w:jc w:val="left"/>
              <w:rPr>
                <w:kern w:val="0"/>
              </w:rPr>
            </w:pPr>
            <w:r>
              <w:rPr>
                <w:rFonts w:hint="eastAsia" w:ascii="宋体"/>
                <w:kern w:val="0"/>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pPr>
              <w:widowControl/>
              <w:spacing w:line="200" w:lineRule="exact"/>
              <w:jc w:val="left"/>
              <w:rPr>
                <w:rFonts w:ascii="宋体"/>
                <w:kern w:val="0"/>
              </w:rPr>
            </w:pPr>
            <w:r>
              <w:rPr>
                <w:rFonts w:hint="eastAsia" w:ascii="宋体"/>
                <w:kern w:val="0"/>
              </w:rPr>
              <w:t>南银理财珠联璧合鑫逸稳两年32期封闭式公募人民币理财产品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40" w:hRule="atLeast"/>
          <w:jc w:val="center"/>
        </w:trPr>
        <w:tc>
          <w:tcPr>
            <w:tcW w:w="2272" w:type="dxa"/>
            <w:tcBorders>
              <w:top w:val="single" w:color="auto" w:sz="2" w:space="0"/>
              <w:left w:val="single" w:color="auto" w:sz="2" w:space="0"/>
              <w:bottom w:val="single" w:color="auto" w:sz="2" w:space="0"/>
              <w:right w:val="single" w:color="auto" w:sz="2" w:space="0"/>
            </w:tcBorders>
            <w:vAlign w:val="center"/>
          </w:tcPr>
          <w:p>
            <w:pPr>
              <w:widowControl/>
              <w:spacing w:line="200" w:lineRule="exact"/>
              <w:jc w:val="left"/>
              <w:rPr>
                <w:kern w:val="0"/>
              </w:rPr>
            </w:pPr>
            <w:r>
              <w:rPr>
                <w:rFonts w:hint="eastAsia" w:ascii="宋体"/>
                <w:kern w:val="0"/>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pPr>
              <w:widowControl/>
              <w:spacing w:line="200" w:lineRule="exact"/>
              <w:jc w:val="left"/>
              <w:rPr>
                <w:rFonts w:ascii="宋体"/>
                <w:kern w:val="0"/>
              </w:rPr>
            </w:pPr>
            <w:r>
              <w:rPr>
                <w:rFonts w:hint="eastAsia" w:ascii="宋体"/>
                <w:kern w:val="0"/>
              </w:rPr>
              <w:t>封闭式、固定收益类、公募、净值型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40" w:hRule="atLeast"/>
          <w:jc w:val="center"/>
        </w:trPr>
        <w:tc>
          <w:tcPr>
            <w:tcW w:w="2272" w:type="dxa"/>
            <w:tcBorders>
              <w:top w:val="single" w:color="auto" w:sz="2" w:space="0"/>
              <w:left w:val="single" w:color="auto" w:sz="2" w:space="0"/>
              <w:bottom w:val="single" w:color="auto" w:sz="2" w:space="0"/>
              <w:right w:val="single" w:color="auto" w:sz="2" w:space="0"/>
            </w:tcBorders>
            <w:vAlign w:val="center"/>
          </w:tcPr>
          <w:p>
            <w:pPr>
              <w:widowControl/>
              <w:spacing w:line="200" w:lineRule="exact"/>
              <w:jc w:val="left"/>
              <w:rPr>
                <w:kern w:val="0"/>
              </w:rPr>
            </w:pPr>
            <w:r>
              <w:rPr>
                <w:rFonts w:hint="eastAsia" w:ascii="宋体"/>
                <w:kern w:val="0"/>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pPr>
              <w:widowControl/>
              <w:spacing w:line="200" w:lineRule="exact"/>
              <w:jc w:val="left"/>
              <w:rPr>
                <w:rFonts w:ascii="宋体"/>
                <w:kern w:val="0"/>
              </w:rPr>
            </w:pPr>
            <w:r>
              <w:rPr>
                <w:rFonts w:hint="eastAsia" w:ascii="宋体"/>
                <w:kern w:val="0"/>
              </w:rPr>
              <w:t>公开募集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40" w:hRule="atLeast"/>
          <w:jc w:val="center"/>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pPr>
              <w:widowControl/>
              <w:spacing w:line="200" w:lineRule="exact"/>
              <w:jc w:val="left"/>
              <w:rPr>
                <w:rFonts w:ascii="宋体"/>
                <w:kern w:val="0"/>
              </w:rPr>
            </w:pPr>
            <w:r>
              <w:rPr>
                <w:rFonts w:ascii="宋体"/>
                <w:kern w:val="0"/>
              </w:rPr>
              <w:t>ZZ700322301568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25"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pPr>
              <w:widowControl/>
              <w:spacing w:line="200" w:lineRule="exact"/>
              <w:jc w:val="left"/>
              <w:rPr>
                <w:kern w:val="0"/>
              </w:rPr>
            </w:pPr>
            <w:r>
              <w:rPr>
                <w:rFonts w:ascii="宋体" w:cs="宋体"/>
                <w:kern w:val="0"/>
              </w:rPr>
              <w:t>Z7003223000141</w:t>
            </w:r>
            <w:r>
              <w:rPr>
                <w:rFonts w:hint="eastAsia" w:ascii="宋体" w:cs="宋体"/>
                <w:kern w:val="0"/>
              </w:rPr>
              <w:t>(投资者可依据该编码在中国理财网www.chinawealth.com.cn查询理财产品相关信息）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40"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A份额：Y60032</w:t>
            </w:r>
          </w:p>
          <w:p>
            <w:pPr>
              <w:spacing w:line="200" w:lineRule="exact"/>
            </w:pPr>
            <w:r>
              <w:rPr>
                <w:rFonts w:ascii="宋体" w:hAnsi="宋体" w:cs="宋体"/>
              </w:rPr>
              <w:t>B份额：Y61032</w:t>
            </w:r>
          </w:p>
          <w:p>
            <w:pPr>
              <w:spacing w:line="200" w:lineRule="exact"/>
            </w:pPr>
            <w:r>
              <w:rPr>
                <w:rFonts w:ascii="宋体" w:hAnsi="宋体" w:cs="宋体"/>
              </w:rPr>
              <w:t>C份额：Y62032</w:t>
            </w:r>
          </w:p>
          <w:p>
            <w:pPr>
              <w:spacing w:line="200" w:lineRule="exact"/>
            </w:pPr>
            <w:r>
              <w:rPr>
                <w:rFonts w:ascii="宋体" w:hAnsi="宋体" w:cs="宋体"/>
                <w:b/>
              </w:rPr>
              <w:t>注：本产品A/B/C份额针对不同的销售机构及客群进行销售，设置有不同的销售费和管理费，具体客群划分标准以销售机构为准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40"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全国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40"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币种</w:t>
            </w:r>
          </w:p>
        </w:tc>
        <w:tc>
          <w:tcPr>
            <w:tcW w:w="5543" w:type="dxa"/>
            <w:tcBorders>
              <w:top w:val="single" w:color="auto" w:sz="4" w:space="0"/>
              <w:left w:val="nil"/>
              <w:bottom w:val="single" w:color="auto" w:sz="4" w:space="0"/>
              <w:right w:val="single" w:color="auto" w:sz="4" w:space="0"/>
              <w:tl2br w:val="nil"/>
              <w:tr2bl w:val="nil"/>
            </w:tcBorders>
            <w:vAlign w:val="center"/>
          </w:tcPr>
          <w:p>
            <w:pPr>
              <w:widowControl/>
              <w:spacing w:line="200" w:lineRule="exact"/>
              <w:jc w:val="left"/>
              <w:textAlignment w:val="center"/>
              <w:rPr>
                <w:kern w:val="0"/>
              </w:rPr>
            </w:pPr>
            <w:r>
              <w:rPr>
                <w:rFonts w:hint="eastAsia" w:ascii="宋体"/>
                <w:kern w:val="0"/>
              </w:rPr>
              <w:t>人民币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50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本理财产品规模上限为30亿元。理财产品管理人有权对上述规模上限根据实际业务需求进行调整。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50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根据理财产品管理人对理财产品的内部风险评估，本理财产品风险等级为中低风险（本风险等级为管理人内部风险评估结果，仅供参考）。</w:t>
            </w:r>
          </w:p>
          <w:p>
            <w:pPr>
              <w:spacing w:line="200" w:lineRule="exact"/>
            </w:pPr>
            <w:r>
              <w:rPr>
                <w:rFonts w:ascii="宋体" w:hAnsi="宋体" w:cs="宋体"/>
              </w:rPr>
              <w:t>代销机构应当设置科学合理的理财产品风险评级的方式和方法，对理财产品进行评级；该产品通过代销机构渠道销售的，理财产品评级应当以代销机构最终披露的评级结果为准。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3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宋体" w:hAnsi="宋体" w:cs="宋体"/>
              </w:rPr>
              <w:t>符合相关法律法规、监管规定要求的，经销售机构的风险承受能力评估体系评定为适合的个人和机构投资者。</w:t>
            </w:r>
          </w:p>
          <w:p>
            <w:pPr>
              <w:spacing w:line="200" w:lineRule="exact"/>
            </w:pPr>
            <w:r>
              <w:t>A份额：</w:t>
            </w:r>
            <w:r>
              <w:rPr>
                <w:rFonts w:hint="eastAsia"/>
                <w:lang w:val="en-US" w:eastAsia="zh-CN"/>
              </w:rPr>
              <w:t>除B、C份额以外的所有客户（详见“销售机构”条款）</w:t>
            </w:r>
            <w:r>
              <w:t>。</w:t>
            </w:r>
          </w:p>
          <w:p>
            <w:pPr>
              <w:spacing w:line="200" w:lineRule="exact"/>
            </w:pPr>
            <w:r>
              <w:t>B份额：</w:t>
            </w:r>
            <w:r>
              <w:rPr>
                <w:rFonts w:hint="eastAsia"/>
                <w:lang w:val="en-US" w:eastAsia="zh-CN"/>
              </w:rPr>
              <w:t>南京银行股份有限公司</w:t>
            </w:r>
            <w:r>
              <w:rPr>
                <w:rFonts w:hint="default"/>
                <w:lang w:val="en-US" w:eastAsia="zh-CN"/>
              </w:rPr>
              <w:t>除C份额以外的所有客户</w:t>
            </w:r>
            <w:r>
              <w:rPr>
                <w:rFonts w:hint="eastAsia"/>
                <w:lang w:eastAsia="zh-CN"/>
              </w:rPr>
              <w:t>；</w:t>
            </w:r>
            <w:r>
              <w:rPr>
                <w:rFonts w:hint="eastAsia" w:ascii="宋体" w:hAnsi="宋体" w:cs="宋体"/>
                <w:kern w:val="0"/>
              </w:rPr>
              <w:t>宁波通商银行股份有限公司、宁波东海银行股份有限公司、温州银行股份有限公司</w:t>
            </w:r>
            <w:r>
              <w:t>、云南红塔银行股份有限公司</w:t>
            </w:r>
            <w:r>
              <w:rPr>
                <w:rFonts w:hint="eastAsia"/>
              </w:rPr>
              <w:t>（起点5万元）</w:t>
            </w:r>
            <w:r>
              <w:t>。</w:t>
            </w:r>
          </w:p>
          <w:p>
            <w:pPr>
              <w:spacing w:line="200" w:lineRule="exact"/>
            </w:pPr>
            <w:r>
              <w:t>C份额：南京银行股份有限公司</w:t>
            </w:r>
            <w:r>
              <w:rPr>
                <w:rFonts w:hint="eastAsia"/>
              </w:rPr>
              <w:t>新客或新资金或代发</w:t>
            </w:r>
            <w:r>
              <w:rPr>
                <w:rFonts w:hint="eastAsia"/>
                <w:lang w:val="en-US" w:eastAsia="zh-CN"/>
              </w:rPr>
              <w:t>客户</w:t>
            </w:r>
            <w:r>
              <w:rPr>
                <w:rFonts w:hint="eastAsia"/>
                <w:lang w:eastAsia="zh-CN"/>
              </w:rPr>
              <w:t>；</w:t>
            </w:r>
            <w:r>
              <w:t>中邮邮惠万家银行有限责任公司、云南红塔银行股份有限公司</w:t>
            </w:r>
            <w:r>
              <w:rPr>
                <w:rFonts w:hint="eastAsia"/>
              </w:rPr>
              <w:t>（起点20万元）</w:t>
            </w:r>
            <w:r>
              <w:t>。</w:t>
            </w:r>
          </w:p>
          <w:p>
            <w:pPr>
              <w:spacing w:line="200" w:lineRule="exact"/>
              <w:rPr>
                <w:b/>
                <w:bCs/>
              </w:rPr>
            </w:pPr>
            <w:r>
              <w:rPr>
                <w:b/>
                <w:bCs/>
              </w:rPr>
              <w:t>注：本产品A/B/C份额针对不同的销售机构及客群进行销售，设置有不同的销售费和管理费，具体客群划分标准以销售机构为准</w:t>
            </w:r>
          </w:p>
          <w:p>
            <w:pPr>
              <w:spacing w:line="200" w:lineRule="exact"/>
            </w:pPr>
            <w:r>
              <w:rPr>
                <w:rFonts w:hint="eastAsia"/>
                <w:b/>
                <w:bCs/>
                <w:lang w:eastAsia="zh-CN"/>
              </w:rPr>
              <w:t>南京银行</w:t>
            </w:r>
            <w:r>
              <w:rPr>
                <w:rFonts w:hint="default"/>
                <w:b/>
                <w:bCs/>
              </w:rPr>
              <w:t>新客或新资金或代发</w:t>
            </w:r>
            <w:r>
              <w:rPr>
                <w:rFonts w:hint="default"/>
                <w:b/>
                <w:bCs/>
                <w:lang w:val="en-US" w:eastAsia="zh-CN"/>
              </w:rPr>
              <w:t>客户</w:t>
            </w:r>
            <w:r>
              <w:rPr>
                <w:rFonts w:hint="default"/>
                <w:b/>
                <w:bCs/>
                <w:lang w:eastAsia="zh-CN"/>
              </w:rPr>
              <w:t>：</w:t>
            </w:r>
            <w:r>
              <w:rPr>
                <w:rFonts w:hint="default" w:ascii="Times New Roman" w:hAnsi="Times New Roman" w:eastAsia="宋体" w:cs="Times New Roman"/>
                <w:sz w:val="18"/>
                <w:szCs w:val="18"/>
              </w:rPr>
              <w:t>新客是指购买当月客户等级为“未评级”的客户或2023年无理财交易的客户。新资金是指</w:t>
            </w:r>
            <w:r>
              <w:rPr>
                <w:rFonts w:hint="eastAsia" w:cs="Times New Roman"/>
                <w:sz w:val="18"/>
                <w:szCs w:val="18"/>
                <w:lang w:val="en-US" w:eastAsia="zh-CN"/>
              </w:rPr>
              <w:t>南京银行</w:t>
            </w:r>
            <w:r>
              <w:rPr>
                <w:rFonts w:hint="default" w:ascii="Times New Roman" w:hAnsi="Times New Roman" w:eastAsia="宋体" w:cs="Times New Roman"/>
                <w:sz w:val="18"/>
                <w:szCs w:val="18"/>
              </w:rPr>
              <w:t>金融资产余额较上月月日均增长1万元及以上的客户。代发是指近90天内有过代发记录的客户。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1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A份额/B份额/C份额：</w:t>
            </w:r>
          </w:p>
          <w:p>
            <w:pPr>
              <w:spacing w:line="200" w:lineRule="exact"/>
            </w:pPr>
            <w:r>
              <w:rPr>
                <w:rFonts w:ascii="宋体" w:hAnsi="宋体" w:cs="宋体"/>
              </w:rPr>
              <w:t>个人投资者起点金额1元人民币，以1元的整数倍递增；</w:t>
            </w:r>
          </w:p>
          <w:p>
            <w:pPr>
              <w:spacing w:line="200" w:lineRule="exact"/>
            </w:pPr>
            <w:r>
              <w:rPr>
                <w:rFonts w:ascii="宋体" w:hAnsi="宋体" w:cs="宋体"/>
              </w:rPr>
              <w:t>机构投资者起点金额1元人民币，以1元的整数倍递增；</w:t>
            </w:r>
          </w:p>
          <w:p>
            <w:pPr>
              <w:spacing w:line="200" w:lineRule="exact"/>
            </w:pPr>
            <w:r>
              <w:rPr>
                <w:rFonts w:ascii="宋体" w:hAnsi="宋体" w:cs="宋体"/>
              </w:rPr>
              <w:t>后续在符合监管政策规定的条件下，理财产品管理人有权对上述投资起点金额和递增金额进行调整,并在调整日前至少3个工作日进行信息披露。</w:t>
            </w:r>
          </w:p>
          <w:p>
            <w:pPr>
              <w:spacing w:line="200" w:lineRule="exact"/>
            </w:pPr>
            <w:r>
              <w:rPr>
                <w:rFonts w:ascii="宋体" w:hAnsi="宋体" w:cs="宋体"/>
              </w:rPr>
              <w:t>代销机构可根据其销售需要对投资起点金额、递增金额进行重新设定，投资者通过代销机构购买本理财产品的，以该代销机构最终披露的投资起点金额、递增金额为准。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宋体" w:hAnsi="宋体" w:cs="宋体"/>
              </w:rPr>
              <w:t>本理财产品单一投资者持有的份额（含已确认和待确认的份额）不得超过本理财产品总份额的50%，管理人有权拒绝导致投资者持有份额突破前述50%比例限制的认申购申请。</w:t>
            </w:r>
          </w:p>
          <w:p>
            <w:pPr>
              <w:spacing w:line="200" w:lineRule="exact"/>
              <w:jc w:val="left"/>
            </w:pPr>
            <w:r>
              <w:rPr>
                <w:rFonts w:ascii="宋体" w:hAnsi="宋体" w:cs="宋体"/>
              </w:rPr>
              <w:t>非因管理人主观因素导致突破上述50%比例限制的，在单一投资者持有比例降至50%以下之前，管理人不再接受该投资者对本理财产品的认申购申请。</w:t>
            </w:r>
          </w:p>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color w:val="000000"/>
              </w:rPr>
              <w:t>2023年07月19日 09:00—2023年07月25日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rFonts w:ascii="宋体"/>
                <w:kern w:val="0"/>
              </w:rPr>
            </w:pPr>
            <w:r>
              <w:rPr>
                <w:rFonts w:ascii="宋体"/>
                <w:kern w:val="0"/>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360" w:lineRule="auto"/>
            </w:pPr>
            <w:r>
              <w:rPr>
                <w:rFonts w:ascii="宋体" w:hAnsi="宋体" w:cs="宋体"/>
              </w:rPr>
              <w:t>认购份额=确认认购金额/1。（认购份额以去尾法保留两位小数）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40"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rFonts w:ascii="宋体"/>
                <w:kern w:val="0"/>
              </w:rPr>
            </w:pPr>
            <w:r>
              <w:rPr>
                <w:rFonts w:hint="eastAsia" w:ascii="宋体"/>
                <w:kern w:val="0"/>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ascii="宋体"/>
                <w:color w:val="000000"/>
                <w:kern w:val="0"/>
              </w:rPr>
            </w:pPr>
            <w:r>
              <w:rPr>
                <w:rFonts w:hint="eastAsia" w:ascii="宋体"/>
                <w:color w:val="000000"/>
                <w:kern w:val="0"/>
              </w:rPr>
              <w:t>同产品成立日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1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hint="eastAsia" w:ascii="宋体"/>
                <w:kern w:val="0"/>
              </w:rPr>
              <w:t>2023年07月26日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2023年07月26日—实际到期日（</w:t>
            </w:r>
            <w:r>
              <w:rPr>
                <w:rFonts w:ascii="宋体" w:hAnsi="宋体" w:cs="宋体"/>
                <w:b/>
                <w:bCs/>
              </w:rPr>
              <w:t>如名义到期日遇国家法定节假日，管理人可结合国家法定节假日安排进行调整。同时管理人有权提前终止本产品（提前终止情形详见本产品说明书其他说明事项第一条）。</w:t>
            </w:r>
            <w:r>
              <w:rPr>
                <w:rFonts w:ascii="宋体" w:hAnsi="宋体" w:cs="宋体"/>
              </w:rPr>
              <w:t>若未出现以上情形，则实际到期日即为名义到期日，存续期限</w:t>
            </w:r>
            <w:r>
              <w:rPr>
                <w:rFonts w:hint="eastAsia" w:ascii="宋体" w:hAnsi="宋体" w:cs="宋体"/>
                <w:b/>
                <w:bCs/>
              </w:rPr>
              <w:t>74</w:t>
            </w:r>
            <w:r>
              <w:rPr>
                <w:rFonts w:ascii="宋体" w:hAnsi="宋体" w:cs="宋体"/>
                <w:b/>
                <w:bCs/>
              </w:rPr>
              <w:t>9天</w:t>
            </w:r>
            <w:r>
              <w:rPr>
                <w:rFonts w:ascii="宋体" w:hAnsi="宋体" w:cs="宋体"/>
              </w:rPr>
              <w:t>；若出现以上情形，则理财存续期限和实际到期日将相应调整，管理人将至少提前3个工作日进行信息披露。）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525"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2025年08月13日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rFonts w:ascii="宋体"/>
                <w:kern w:val="0"/>
              </w:rPr>
            </w:pPr>
            <w:r>
              <w:rPr>
                <w:rFonts w:hint="eastAsia" w:ascii="宋体"/>
                <w:kern w:val="0"/>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color w:val="000000"/>
              </w:rPr>
              <w:t>到期兑付金额=到期时持有份额×R。 R为期末理财产品单位净值。（已扣除相关费用，到期兑付金额以去尾法保留两位小数）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2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当理财产品单位净值不低于1时，管理人可以根据实际情况进行收益分配，分配方式为现金分红，具体分配方案以信息披露为准（分配后理财产品净值不低于1）。</w:t>
            </w:r>
          </w:p>
          <w:p>
            <w:pPr>
              <w:spacing w:line="200" w:lineRule="exact"/>
            </w:pPr>
            <w:r>
              <w:rPr>
                <w:rFonts w:ascii="宋体" w:hAnsi="宋体" w:cs="宋体"/>
              </w:rPr>
              <w:t>产品到期后，理财产品管理人和代销机构将根据理财资金所投资资产实际运作情况向投资者分配到期款项。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29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分红资金（如有）、到期资金将于分红权益登记日（如有）、实际到期日后5个工作日内划入投资者授权指定账户，分红权益登记日（如有）、实际到期日后至投资者收益划到投资者授权指定账户之前不计任何收益。</w:t>
            </w:r>
          </w:p>
          <w:p>
            <w:pPr>
              <w:spacing w:line="200" w:lineRule="exact"/>
            </w:pPr>
            <w:r>
              <w:rPr>
                <w:rFonts w:ascii="宋体" w:hAnsi="宋体" w:cs="宋体"/>
              </w:rPr>
              <w:t>分红权益登记日指管理人确认投资者所持份额是否享受本次分红的日期。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25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宋体" w:hAnsi="宋体" w:cs="宋体"/>
              </w:rPr>
              <w:t>本理财产品募集的资金投资于以下金融资产和金融工具，包括但不限于：</w:t>
            </w:r>
          </w:p>
          <w:p>
            <w:pPr>
              <w:spacing w:line="200" w:lineRule="exact"/>
              <w:jc w:val="left"/>
            </w:pPr>
            <w:r>
              <w:rPr>
                <w:rFonts w:ascii="宋体" w:hAnsi="宋体" w:cs="宋体"/>
              </w:rPr>
              <w:t>1.现金、银行存款、银行承兑汇票、同业存款、大额存单、同业存单、债券回购、货币基金等货币市场工具；</w:t>
            </w:r>
          </w:p>
          <w:p>
            <w:pPr>
              <w:spacing w:line="200" w:lineRule="exact"/>
              <w:jc w:val="left"/>
            </w:pPr>
            <w:r>
              <w:rPr>
                <w:rFonts w:ascii="宋体" w:hAnsi="宋体" w:cs="宋体"/>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spacing w:line="200" w:lineRule="exact"/>
              <w:jc w:val="left"/>
            </w:pPr>
            <w:r>
              <w:rPr>
                <w:rFonts w:ascii="宋体" w:hAnsi="宋体" w:cs="宋体"/>
              </w:rPr>
              <w:t>3.理财直接融资工具、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spacing w:line="200" w:lineRule="exact"/>
              <w:jc w:val="left"/>
            </w:pPr>
            <w:r>
              <w:rPr>
                <w:rFonts w:ascii="宋体" w:hAnsi="宋体" w:cs="宋体"/>
              </w:rPr>
              <w:t>4.投资范围为上述资产的信托计划、资产管理计划等资产管理产品；</w:t>
            </w:r>
          </w:p>
          <w:p>
            <w:pPr>
              <w:spacing w:line="200" w:lineRule="exact"/>
              <w:jc w:val="left"/>
            </w:pPr>
            <w:r>
              <w:rPr>
                <w:rFonts w:ascii="宋体" w:hAnsi="宋体" w:cs="宋体"/>
              </w:rPr>
              <w:t>5.法律法规或监管机构允许投资的符合本理财产品投资性质的其他金融工具；</w:t>
            </w:r>
          </w:p>
          <w:p>
            <w:pPr>
              <w:spacing w:line="200" w:lineRule="exact"/>
            </w:pPr>
            <w:r>
              <w:rPr>
                <w:rFonts w:ascii="宋体" w:hAnsi="宋体" w:cs="宋体"/>
              </w:rPr>
              <w:t>6.如存在法律法规或监管机构以后允许投资的其他品种或法律法规或监管政策出现调整，管理人在履行本理财产品销售文件规定的适当程序后，有权调整以上品种。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2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本理财产品投资于固定收益类资产的比例为100%,投资于非标准化债权类资产的比例不高于50%。</w:t>
            </w:r>
          </w:p>
          <w:p>
            <w:pPr>
              <w:spacing w:line="200" w:lineRule="exact"/>
            </w:pPr>
            <w:r>
              <w:rPr>
                <w:rFonts w:ascii="宋体" w:hAnsi="宋体" w:cs="宋体"/>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2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本产品在严格控制风险（包括流动性风险、市场风险、信用风险）的前提下，以自上而下的经济基本面分析为基础，合理筛选资产，力争实现资产的稳健增长。</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1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rFonts w:ascii="宋体"/>
                <w:kern w:val="0"/>
              </w:rPr>
            </w:pPr>
            <w:r>
              <w:rPr>
                <w:rFonts w:hint="eastAsia" w:ascii="宋体"/>
                <w:kern w:val="0"/>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b/>
              </w:rPr>
              <w:t>本理财产品拟投资以下备选非标准化债权类资产：</w:t>
            </w:r>
          </w:p>
          <w:p>
            <w:pPr>
              <w:spacing w:line="200" w:lineRule="exact"/>
              <w:jc w:val="left"/>
            </w:pPr>
            <w:r>
              <w:rPr>
                <w:rFonts w:ascii="宋体" w:hAnsi="宋体" w:cs="宋体"/>
              </w:rPr>
              <w:t>1.理财直接融资工具，融资人为盐城市城市建设投资集团有限公司，融资人评级为AA+（评级机构为上海新世纪资信评估投资服务有限公司）。</w:t>
            </w:r>
          </w:p>
          <w:p>
            <w:pPr>
              <w:spacing w:line="200" w:lineRule="exact"/>
              <w:jc w:val="left"/>
            </w:pPr>
            <w:r>
              <w:rPr>
                <w:rFonts w:ascii="宋体" w:hAnsi="宋体" w:cs="宋体"/>
              </w:rPr>
              <w:t>2.理财直接融资工具，融资人为泰州市城市建设投资集团有限公司，融资人评级为AAA（评级机构为东方金诚国际信用评估有限公司）。</w:t>
            </w:r>
          </w:p>
          <w:p>
            <w:pPr>
              <w:spacing w:line="200" w:lineRule="exact"/>
              <w:jc w:val="left"/>
            </w:pPr>
            <w:r>
              <w:rPr>
                <w:rFonts w:ascii="宋体" w:hAnsi="宋体" w:cs="宋体"/>
              </w:rPr>
              <w:t>3.理财直接融资工具，融资人为泰州东部新城发展集团有限公司，融资人评级为AA（评级机构为中诚信国际信用评级有限责任公司）。</w:t>
            </w:r>
          </w:p>
          <w:p>
            <w:pPr>
              <w:spacing w:line="200" w:lineRule="exact"/>
              <w:jc w:val="left"/>
            </w:pPr>
            <w:r>
              <w:rPr>
                <w:rFonts w:ascii="宋体" w:hAnsi="宋体" w:cs="宋体"/>
              </w:rPr>
              <w:t>4.理财直接融资工具，融资人为杭州西湖城市建设投资集团有限公司，融资人评级为AA+（评级机构为上海新世纪资信评估投资服务有限公司）。</w:t>
            </w:r>
          </w:p>
          <w:p>
            <w:pPr>
              <w:spacing w:line="200" w:lineRule="exact"/>
              <w:jc w:val="left"/>
            </w:pPr>
            <w:r>
              <w:rPr>
                <w:rFonts w:ascii="宋体" w:hAnsi="宋体" w:cs="宋体"/>
              </w:rPr>
              <w:t>5.理财直接融资工具，融资人为淮安市清江浦融合投资控股集团有限公司，融资人评级为AA（评级机构为中诚信国际信用评级有限责任公司）。</w:t>
            </w:r>
          </w:p>
          <w:p>
            <w:pPr>
              <w:spacing w:line="200" w:lineRule="exact"/>
              <w:jc w:val="left"/>
            </w:pPr>
            <w:r>
              <w:rPr>
                <w:rFonts w:ascii="宋体" w:hAnsi="宋体" w:cs="宋体"/>
              </w:rPr>
              <w:t>6.理财直接融资工具，融资人为淮安市国有联合投资发展集团有限公司，融资人评级为AA+（评级机构为大公国际资信评估有限公司）。</w:t>
            </w:r>
          </w:p>
          <w:p>
            <w:pPr>
              <w:spacing w:line="200" w:lineRule="exact"/>
              <w:jc w:val="left"/>
            </w:pPr>
            <w:r>
              <w:rPr>
                <w:rFonts w:ascii="宋体" w:hAnsi="宋体" w:cs="宋体"/>
              </w:rPr>
              <w:t>7.理财直接融资工具，融资人为宿迁市运河港区开发集团有限公司，融资人评级为AA（评级机构为联合资信评估股份有限公司）。</w:t>
            </w:r>
          </w:p>
          <w:p>
            <w:pPr>
              <w:spacing w:line="200" w:lineRule="exact"/>
              <w:jc w:val="left"/>
            </w:pPr>
            <w:r>
              <w:rPr>
                <w:rFonts w:ascii="宋体" w:hAnsi="宋体" w:cs="宋体"/>
              </w:rPr>
              <w:t>8.理财直接融资工具，融资人为宿迁市惠农产业发展股份有限公司，融资人评级为AA（评级机构为联合资信评估股份有限公司）。</w:t>
            </w:r>
          </w:p>
          <w:p>
            <w:pPr>
              <w:spacing w:line="200" w:lineRule="exact"/>
              <w:jc w:val="left"/>
            </w:pPr>
            <w:r>
              <w:rPr>
                <w:rFonts w:ascii="宋体" w:hAnsi="宋体" w:cs="宋体"/>
              </w:rPr>
              <w:t>9.理财直接融资工具，融资人为无锡惠山高科有限公司 ，融资人评级为AA+（评级机构为上海新世纪资信评估投资服务有限公司）。</w:t>
            </w:r>
          </w:p>
          <w:p>
            <w:pPr>
              <w:spacing w:line="200" w:lineRule="exact"/>
              <w:jc w:val="left"/>
            </w:pPr>
            <w:r>
              <w:rPr>
                <w:rFonts w:ascii="宋体" w:hAnsi="宋体" w:cs="宋体"/>
              </w:rPr>
              <w:t>10.理财直接融资工具，融资人为江苏宜兴环保科技工业园发展集团有限公司，融资人评级为AA（评级机构为东方金诚国际信用评估有限公司）。</w:t>
            </w:r>
          </w:p>
          <w:p>
            <w:pPr>
              <w:spacing w:line="200" w:lineRule="exact"/>
              <w:jc w:val="left"/>
            </w:pPr>
            <w:r>
              <w:rPr>
                <w:rFonts w:ascii="宋体" w:hAnsi="宋体" w:cs="宋体"/>
              </w:rPr>
              <w:t>11.理财直接融资工具，融资人为诸暨市交通基础设施建设有限公司，融资人评级为AA（评级机构为上海新世纪资信评估投资服务有限公司）。</w:t>
            </w:r>
          </w:p>
          <w:p>
            <w:pPr>
              <w:spacing w:line="200" w:lineRule="exact"/>
              <w:jc w:val="left"/>
            </w:pPr>
            <w:r>
              <w:rPr>
                <w:rFonts w:ascii="宋体" w:hAnsi="宋体" w:cs="宋体"/>
              </w:rPr>
              <w:t>12.理财直接融资工具，融资人为金华金开国有资本投资有限公司，融资人评级为AA（评级机构为中诚信国际信用评级有限责任公司）。</w:t>
            </w:r>
          </w:p>
          <w:p>
            <w:pPr>
              <w:spacing w:line="200" w:lineRule="exact"/>
              <w:jc w:val="left"/>
            </w:pPr>
            <w:r>
              <w:rPr>
                <w:rFonts w:ascii="宋体" w:hAnsi="宋体" w:cs="宋体"/>
              </w:rPr>
              <w:t>13.理财直接融资工具，融资人为江苏新海连发展集团有限公司，融资人评级为AA+（评级机构为上海新世纪资信评估投资服务有限公司）。</w:t>
            </w:r>
          </w:p>
          <w:p>
            <w:pPr>
              <w:spacing w:line="200" w:lineRule="exact"/>
              <w:jc w:val="left"/>
            </w:pPr>
            <w:r>
              <w:rPr>
                <w:rFonts w:ascii="宋体" w:hAnsi="宋体" w:cs="宋体"/>
              </w:rPr>
              <w:t>14.理财直接融资工具，融资人为淮安高新控股有限公司，融资人评级为AA（评级机构为联合资信评估股份有限公司）。</w:t>
            </w:r>
          </w:p>
          <w:p>
            <w:pPr>
              <w:spacing w:line="200" w:lineRule="exact"/>
            </w:pPr>
            <w:r>
              <w:rPr>
                <w:rFonts w:ascii="宋体" w:hAnsi="宋体" w:cs="宋体"/>
                <w:b/>
              </w:rPr>
              <w:t>以上资产剩余期限均不超过产品期限。</w:t>
            </w:r>
          </w:p>
          <w:p>
            <w:pPr>
              <w:spacing w:line="200" w:lineRule="exact"/>
            </w:pPr>
            <w:r>
              <w:rPr>
                <w:rFonts w:ascii="宋体" w:hAnsi="宋体" w:cs="宋体"/>
                <w:b/>
              </w:rPr>
              <w:t>产品管理人将优先选择上述备选非标准化债权类资产中的一笔或者多笔作为本理财产品投资的非标准化债权类资产，并在本理财产品的定期报告中进行信息披露。</w:t>
            </w:r>
          </w:p>
          <w:p>
            <w:pPr>
              <w:spacing w:line="200" w:lineRule="exact"/>
            </w:pPr>
            <w:r>
              <w:rPr>
                <w:rFonts w:ascii="宋体" w:hAnsi="宋体" w:cs="宋体"/>
                <w:b/>
              </w:rPr>
              <w:t>若受到市场影响出现融资人临时变更融资要素（如取消该笔资产发行或改变资产的发行时间、资产收益等要素）导致本理财产品无法投资对应资产时，为最大程度保障投资者权益，管理人有权采取如下措施：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2.若本理财产品已成立，则管理人有权提前终止本理财产品，自产品成立至提前终止日期间不计任何收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bCs/>
                <w:kern w:val="0"/>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A份额：业绩比较基准4.10%(年化)。</w:t>
            </w:r>
          </w:p>
          <w:p>
            <w:pPr>
              <w:spacing w:line="200" w:lineRule="exact"/>
            </w:pPr>
            <w:r>
              <w:rPr>
                <w:rFonts w:ascii="宋体" w:hAnsi="宋体" w:cs="宋体"/>
              </w:rPr>
              <w:t>B份额：业绩比较基准4.20%(年化)。</w:t>
            </w:r>
          </w:p>
          <w:p>
            <w:pPr>
              <w:spacing w:line="200" w:lineRule="exact"/>
            </w:pPr>
            <w:r>
              <w:rPr>
                <w:rFonts w:ascii="宋体" w:hAnsi="宋体" w:cs="宋体"/>
              </w:rPr>
              <w:t>C份额：业绩比较基准4.30%(年化)。</w:t>
            </w:r>
          </w:p>
          <w:p>
            <w:pPr>
              <w:spacing w:line="200" w:lineRule="exact"/>
            </w:pPr>
            <w:r>
              <w:rPr>
                <w:rFonts w:ascii="宋体" w:hAnsi="宋体" w:cs="宋体"/>
              </w:rPr>
              <w:t>本产品A份额,B份额,C份额针对不同的销售机构及客群进行销售，设置有不同的销售费和管理费，导致业绩基准测算结果不同。</w:t>
            </w:r>
          </w:p>
          <w:p>
            <w:pPr>
              <w:spacing w:line="200" w:lineRule="exact"/>
            </w:pPr>
            <w:r>
              <w:rPr>
                <w:rFonts w:ascii="宋体" w:hAnsi="宋体" w:cs="宋体"/>
              </w:rPr>
              <w:t>本理财产品业绩比较基准是管理人基于过往投资经验、对产品存续期拟投资标的和相应投资市场波动的预判设定的投资目标。本理财产品投资于固定收益类资产的比例为100%,投资于非标准化债权类资产的比例不高于50%。结合债券市场和拟投资的非标准化债权类资产的收益和波动水平预判，在本理财产品约定的投资策略基础上，管理人设定了本理财产品投资周期内的业绩比较基准。</w:t>
            </w:r>
          </w:p>
          <w:p>
            <w:pPr>
              <w:spacing w:line="200" w:lineRule="exact"/>
            </w:pPr>
            <w:r>
              <w:rPr>
                <w:rFonts w:ascii="宋体" w:hAnsi="宋体" w:cs="宋体"/>
                <w:b/>
              </w:rPr>
              <w:t>本理财产品为净值型理财产品，业绩比较基准不是预期收益率，不代表产品的未来表现和实际收益，不构成对产品收益的承诺。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rFonts w:ascii="宋体"/>
                <w:bCs/>
                <w:kern w:val="0"/>
              </w:rPr>
            </w:pPr>
            <w:r>
              <w:rPr>
                <w:rFonts w:hint="eastAsia" w:ascii="宋体"/>
                <w:kern w:val="0"/>
              </w:rPr>
              <w:t>产品费用</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b/>
              </w:rPr>
              <w:t>认/申购费：本理财产品暂不收取认/申购费。</w:t>
            </w:r>
          </w:p>
          <w:p>
            <w:pPr>
              <w:spacing w:line="200" w:lineRule="exact"/>
            </w:pPr>
            <w:r>
              <w:rPr>
                <w:rFonts w:ascii="宋体" w:hAnsi="宋体" w:cs="宋体"/>
                <w:b/>
              </w:rPr>
              <w:t>赎回费：本理财产品暂不收取赎回费。</w:t>
            </w:r>
          </w:p>
          <w:p>
            <w:pPr>
              <w:spacing w:line="200" w:lineRule="exact"/>
            </w:pPr>
            <w:r>
              <w:rPr>
                <w:rFonts w:ascii="宋体" w:hAnsi="宋体" w:cs="宋体"/>
                <w:b/>
              </w:rPr>
              <w:t>销售费：本理财产品按前一日理财产品资产净值收取销售费，按日计提。</w:t>
            </w:r>
          </w:p>
          <w:p>
            <w:pPr>
              <w:spacing w:line="200" w:lineRule="exact"/>
            </w:pPr>
            <w:r>
              <w:rPr>
                <w:rFonts w:ascii="宋体" w:hAnsi="宋体" w:cs="宋体"/>
                <w:b/>
              </w:rPr>
              <w:t>A份额：销售费年化0.2%。</w:t>
            </w:r>
          </w:p>
          <w:p>
            <w:pPr>
              <w:spacing w:line="200" w:lineRule="exact"/>
            </w:pPr>
            <w:r>
              <w:rPr>
                <w:rFonts w:ascii="宋体" w:hAnsi="宋体" w:cs="宋体"/>
                <w:b/>
              </w:rPr>
              <w:t>B份额：销售费年化0.1%。</w:t>
            </w:r>
          </w:p>
          <w:p>
            <w:pPr>
              <w:spacing w:line="200" w:lineRule="exact"/>
            </w:pPr>
            <w:r>
              <w:rPr>
                <w:rFonts w:ascii="宋体" w:hAnsi="宋体" w:cs="宋体"/>
                <w:b/>
              </w:rPr>
              <w:t>C份额：销售费年化0.1%。</w:t>
            </w:r>
          </w:p>
          <w:p>
            <w:pPr>
              <w:spacing w:line="200" w:lineRule="exact"/>
            </w:pPr>
            <w:r>
              <w:rPr>
                <w:rFonts w:ascii="宋体" w:hAnsi="宋体" w:cs="宋体"/>
                <w:b/>
              </w:rPr>
              <w:t>每日计提的销售费=前一日理财产品资产净值×年化销售费率÷365</w:t>
            </w:r>
          </w:p>
          <w:p>
            <w:pPr>
              <w:spacing w:line="200" w:lineRule="exact"/>
            </w:pPr>
            <w:r>
              <w:rPr>
                <w:rFonts w:ascii="宋体" w:hAnsi="宋体" w:cs="宋体"/>
                <w:b/>
              </w:rPr>
              <w:t>固定管理费：本理财产品按前一日理财产品资产净值收取固定管理费，按日计提。</w:t>
            </w:r>
          </w:p>
          <w:p>
            <w:pPr>
              <w:spacing w:line="200" w:lineRule="exact"/>
            </w:pPr>
            <w:r>
              <w:rPr>
                <w:rFonts w:ascii="宋体" w:hAnsi="宋体" w:cs="宋体"/>
                <w:b/>
              </w:rPr>
              <w:t>A份额：固定管理费年化0.3%。</w:t>
            </w:r>
          </w:p>
          <w:p>
            <w:pPr>
              <w:spacing w:line="200" w:lineRule="exact"/>
            </w:pPr>
            <w:r>
              <w:rPr>
                <w:rFonts w:ascii="宋体" w:hAnsi="宋体" w:cs="宋体"/>
                <w:b/>
              </w:rPr>
              <w:t>B份额：固定管理费年化0.3%。</w:t>
            </w:r>
          </w:p>
          <w:p>
            <w:pPr>
              <w:spacing w:line="200" w:lineRule="exact"/>
            </w:pPr>
            <w:r>
              <w:rPr>
                <w:rFonts w:ascii="宋体" w:hAnsi="宋体" w:cs="宋体"/>
                <w:b/>
              </w:rPr>
              <w:t>C份额：固定管理费年化0.2%。</w:t>
            </w:r>
          </w:p>
          <w:p>
            <w:pPr>
              <w:spacing w:line="200" w:lineRule="exact"/>
            </w:pPr>
            <w:r>
              <w:rPr>
                <w:rFonts w:ascii="宋体" w:hAnsi="宋体" w:cs="宋体"/>
                <w:b/>
              </w:rPr>
              <w:t>每日计提的固定管理费=前一日理财产品资产净值×年化固定管理费率÷365</w:t>
            </w:r>
          </w:p>
          <w:p>
            <w:pPr>
              <w:spacing w:line="200" w:lineRule="exact"/>
            </w:pPr>
            <w:r>
              <w:rPr>
                <w:rFonts w:ascii="宋体" w:hAnsi="宋体" w:cs="宋体"/>
                <w:b/>
              </w:rPr>
              <w:t>托管费：本理财产品按前一日理财产品资产净值收取年化0.02%的托管费，按日计提。</w:t>
            </w:r>
          </w:p>
          <w:p>
            <w:pPr>
              <w:spacing w:line="200" w:lineRule="exact"/>
            </w:pPr>
            <w:r>
              <w:rPr>
                <w:rFonts w:ascii="宋体" w:hAnsi="宋体" w:cs="宋体"/>
                <w:b/>
              </w:rPr>
              <w:t>每日计提的托管费=前一日理财产品资产净值×年化托管费率÷365</w:t>
            </w:r>
          </w:p>
          <w:p>
            <w:pPr>
              <w:spacing w:line="200" w:lineRule="exact"/>
            </w:pPr>
            <w:r>
              <w:rPr>
                <w:rFonts w:ascii="宋体" w:hAnsi="宋体" w:cs="宋体"/>
                <w:b/>
              </w:rPr>
              <w:t>业绩报酬：</w:t>
            </w:r>
          </w:p>
          <w:p>
            <w:pPr>
              <w:spacing w:line="200" w:lineRule="exact"/>
            </w:pPr>
            <w:r>
              <w:rPr>
                <w:rFonts w:ascii="宋体" w:hAnsi="宋体" w:cs="宋体"/>
                <w:b/>
              </w:rPr>
              <w:t>A份额：到期兑付时，如当期产品投资的实际资产组合收益（扣除销售费、固定管理费、托管费等相关费用）超过4.1%（年化，即产品该份额对应的业绩报酬计提基准）时，超过部分管理人将按50%收取业绩报酬。</w:t>
            </w:r>
          </w:p>
          <w:p>
            <w:pPr>
              <w:spacing w:line="200" w:lineRule="exact"/>
            </w:pPr>
            <w:r>
              <w:rPr>
                <w:rFonts w:ascii="宋体" w:hAnsi="宋体" w:cs="宋体"/>
                <w:b/>
              </w:rPr>
              <w:t>B份额：到期兑付时，如当期产品投资的实际资产组合收益（扣除销售费、固定管理费、托管费等相关费用）超过4.2%（年化，即产品该份额对应的业绩报酬计提基准）时，超过部分管理人将按50%收取业绩报酬。</w:t>
            </w:r>
          </w:p>
          <w:p>
            <w:pPr>
              <w:spacing w:line="200" w:lineRule="exact"/>
            </w:pPr>
            <w:r>
              <w:rPr>
                <w:rFonts w:ascii="宋体" w:hAnsi="宋体" w:cs="宋体"/>
                <w:b/>
              </w:rPr>
              <w:t>C份额：到期兑付时，如当期产品投资的实际资产组合收益（扣除销售费、固定管理费、托管费等相关费用）超过4.3%（年化，即产品该份额对应的业绩报酬计提基准）时，超过部分管理人将按50%收取业绩报酬。</w:t>
            </w:r>
          </w:p>
          <w:p>
            <w:pPr>
              <w:spacing w:line="200" w:lineRule="exact"/>
            </w:pPr>
            <w:r>
              <w:rPr>
                <w:rFonts w:ascii="宋体" w:hAnsi="宋体" w:cs="宋体"/>
                <w:b/>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pPr>
              <w:spacing w:line="200" w:lineRule="exact"/>
            </w:pPr>
            <w:r>
              <w:rPr>
                <w:rFonts w:ascii="宋体" w:hAnsi="宋体" w:cs="宋体"/>
                <w:b/>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pPr>
              <w:spacing w:line="200" w:lineRule="exact"/>
            </w:pPr>
            <w:r>
              <w:rPr>
                <w:rFonts w:ascii="宋体" w:hAnsi="宋体" w:cs="宋体"/>
                <w:b/>
              </w:rPr>
              <w:t>注：1.根据财政部《资产管理产品相关会计处理规定》（财会〔2022〕14号）“将当期发生的管理人报酬计入当期损益”的相关规定，本理财产品将每日计提暂估的业绩报酬（如有）。</w:t>
            </w:r>
          </w:p>
          <w:p>
            <w:pPr>
              <w:spacing w:line="200" w:lineRule="exact"/>
            </w:pPr>
            <w:r>
              <w:rPr>
                <w:rFonts w:ascii="宋体" w:hAnsi="宋体" w:cs="宋体"/>
                <w:b/>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pPr>
              <w:spacing w:line="200" w:lineRule="exact"/>
            </w:pPr>
            <w:r>
              <w:rPr>
                <w:rFonts w:ascii="宋体" w:hAnsi="宋体" w:cs="宋体"/>
                <w:b/>
              </w:rPr>
              <w:t>计算本区间业绩报酬的公式如下：</w:t>
            </w:r>
          </w:p>
          <w:p>
            <w:pPr>
              <w:spacing w:line="200" w:lineRule="exact"/>
            </w:pPr>
            <w:r>
              <w:rPr>
                <w:rFonts w:ascii="宋体" w:hAnsi="宋体" w:cs="宋体"/>
                <w:b/>
              </w:rPr>
              <w:t>A={B-C*D*(1+E*F/365)}*G。</w:t>
            </w:r>
          </w:p>
          <w:p>
            <w:pPr>
              <w:spacing w:line="200" w:lineRule="exact"/>
            </w:pPr>
            <w:r>
              <w:rPr>
                <w:rFonts w:ascii="宋体" w:hAnsi="宋体" w:cs="宋体"/>
                <w:b/>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0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具体详见本理财产品风险揭示书。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1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宋体" w:hAnsi="宋体" w:cs="宋体"/>
                <w:color w:val="000000"/>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pPr>
              <w:spacing w:line="200" w:lineRule="exact"/>
              <w:jc w:val="left"/>
            </w:pPr>
            <w:r>
              <w:rPr>
                <w:rFonts w:ascii="宋体" w:hAnsi="宋体" w:cs="宋体"/>
                <w:color w:val="000000"/>
              </w:rPr>
              <w:t>1.按照法律法规、监管规定及理财产品销售文件的约定，发行并管理理财产品；</w:t>
            </w:r>
          </w:p>
          <w:p>
            <w:pPr>
              <w:spacing w:line="200" w:lineRule="exact"/>
              <w:jc w:val="left"/>
            </w:pPr>
            <w:r>
              <w:rPr>
                <w:rFonts w:ascii="宋体" w:hAnsi="宋体" w:cs="宋体"/>
                <w:color w:val="000000"/>
              </w:rPr>
              <w:t>2.根据理财产品的投资组合、同类产品过往业绩和风险状况等因素，对理财产品进行评级；</w:t>
            </w:r>
          </w:p>
          <w:p>
            <w:pPr>
              <w:spacing w:line="200" w:lineRule="exact"/>
              <w:jc w:val="left"/>
            </w:pPr>
            <w:r>
              <w:rPr>
                <w:rFonts w:ascii="宋体" w:hAnsi="宋体" w:cs="宋体"/>
                <w:color w:val="000000"/>
              </w:rPr>
              <w:t>3.按照法律法规、监管规定及与投资者约定的信息披露渠道及时披露理财产品相关信息；</w:t>
            </w:r>
          </w:p>
          <w:p>
            <w:pPr>
              <w:spacing w:line="200" w:lineRule="exact"/>
              <w:jc w:val="left"/>
            </w:pPr>
            <w:r>
              <w:rPr>
                <w:rFonts w:ascii="宋体" w:hAnsi="宋体" w:cs="宋体"/>
                <w:color w:val="000000"/>
              </w:rPr>
              <w:t>4.按照理财产品销售文件约定的投资范围和权限，负责理财产品资金的运用和管理，向投资者进行收益分配；</w:t>
            </w:r>
          </w:p>
          <w:p>
            <w:pPr>
              <w:spacing w:line="200" w:lineRule="exact"/>
              <w:jc w:val="left"/>
            </w:pPr>
            <w:r>
              <w:rPr>
                <w:rFonts w:ascii="宋体" w:hAnsi="宋体" w:cs="宋体"/>
                <w:color w:val="000000"/>
              </w:rPr>
              <w:t>5.审慎选择理财产品销售机构，切实履行对销售机构的管理责任；</w:t>
            </w:r>
          </w:p>
          <w:p>
            <w:pPr>
              <w:spacing w:line="200" w:lineRule="exact"/>
              <w:jc w:val="left"/>
            </w:pPr>
            <w:r>
              <w:rPr>
                <w:rFonts w:ascii="宋体" w:hAnsi="宋体" w:cs="宋体"/>
                <w:color w:val="000000"/>
              </w:rPr>
              <w:t>6.根据法律法规、监管规定建立健全投资者权益保护管理体系；</w:t>
            </w:r>
          </w:p>
          <w:p>
            <w:pPr>
              <w:spacing w:line="200" w:lineRule="exact"/>
              <w:jc w:val="left"/>
            </w:pPr>
            <w:r>
              <w:rPr>
                <w:rFonts w:ascii="宋体" w:hAnsi="宋体" w:cs="宋体"/>
                <w:color w:val="000000"/>
              </w:rPr>
              <w:t>7.国务院银行业监督管理机构规定及本理财产品销售文件中约定的其他职责。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宋体" w:hAnsi="宋体" w:cs="宋体"/>
              </w:rPr>
              <w:t>本理财产品销售机构为南银理财有限责任公司、南京银行股份有限公司、兴业银行股份有限公司、江苏太仓农村商业银行股份有限公司、青岛银行股份有限公司、杭州银行股份有限公司、汉口银行股份有限公司、齐商银行股份有限公司、嘉兴银行股份有限公司、江苏常熟农村商业银行股份有限公司、江苏苏州农村商业银行股份有限公司、长沙银行股份有限公司、厦门银行股份有限公司、福建海峡银行股份有限公司、秦皇岛银行股份有限公司、泰安银行股份有限公司、宁波东海银行股份有限公司、齐鲁银行股份有限公司、贵阳银行股份有限公司、深圳前海微众银行股份有限公司、云南红塔银行股份有限公司、中原银行股份有限公司、九江银行股份有限公司、宁夏银行股份有限公司、天津农村商业银行股份有限公司、江苏紫金农村商业银行股份有限公司、温州银行股份有限公司、湖南银行股份有限公司、江苏滨海农村商业银行股份有限公司、江苏金湖农村商业银行股份有限公司、苏州银行股份有限公司、蒙商银行股份有限公司、江苏江南农村商业银行股份有限公司、海口农村商业银行股份有限公司、桂林银行股份有限公司、浙商银行股份有限公司、富邦华一银行有限公司、重庆富民银行股份有限公司、济宁银行股份有限公司、宁波通商银行股份有限公司、中邮邮惠万家银行有限责任公司、日照银行股份有限公司、广州银行股份有限公司、无锡农村商业银行股份有限公司、石嘴山银行股份有限公司、无锡锡商银行股份有限公司、江苏丹阳农村商业银行股份有限公司、江苏扬中农村商业银行股份有限公司、江苏宜兴农村商业银行股份有限公司、江苏高淳农村商业银行股份有限公司、江苏泰兴农村商业银行股份有限公司、江苏响水农村商业银行股份有限公司、江苏靖江农村商业银行股份有限公司、江苏新沂农村商业银行股份有限公司、江苏邳州农村商业银行股份有限公司、江苏民丰农村商业银行股份有限公司、江苏盐城农村商业银行股份有限公司、江苏东台农村商业银行股份有限公司、江苏阜宁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洪泽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吉林亿联银行股份有限公司、枣庄银行股份有限公司、海南银行股份有限公司。</w:t>
            </w:r>
          </w:p>
          <w:p>
            <w:pPr>
              <w:tabs>
                <w:tab w:val="right" w:pos="5327"/>
              </w:tabs>
              <w:spacing w:line="200" w:lineRule="exact"/>
              <w:jc w:val="left"/>
              <w:rPr>
                <w:b/>
                <w:bCs/>
              </w:rPr>
            </w:pPr>
            <w:r>
              <w:rPr>
                <w:rFonts w:ascii="宋体" w:hAnsi="宋体" w:cs="宋体"/>
                <w:b/>
                <w:bCs/>
                <w:color w:val="000000"/>
              </w:rPr>
              <w:t>管理人有权调整本理财产品的销售机构并进行信息披露。</w:t>
            </w:r>
          </w:p>
          <w:p>
            <w:pPr>
              <w:spacing w:line="200" w:lineRule="exact"/>
              <w:jc w:val="left"/>
            </w:pPr>
            <w:r>
              <w:rPr>
                <w:rFonts w:ascii="宋体" w:hAnsi="宋体" w:cs="宋体"/>
              </w:rPr>
              <w:t>销售机构主要职责如下：</w:t>
            </w:r>
          </w:p>
          <w:p>
            <w:pPr>
              <w:spacing w:line="200" w:lineRule="exact"/>
              <w:jc w:val="left"/>
            </w:pPr>
            <w:r>
              <w:rPr>
                <w:rFonts w:ascii="宋体" w:hAnsi="宋体" w:cs="宋体"/>
              </w:rPr>
              <w:t>1.按照法律法规、监管规定及理财产品销售文件的约定，开展理财产品销售活动，向投资者充分披露信息和揭示风险；</w:t>
            </w:r>
          </w:p>
          <w:p>
            <w:pPr>
              <w:spacing w:line="200" w:lineRule="exact"/>
              <w:jc w:val="left"/>
            </w:pPr>
            <w:r>
              <w:rPr>
                <w:rFonts w:ascii="宋体" w:hAnsi="宋体" w:cs="宋体"/>
              </w:rPr>
              <w:t>2.对非机构投资者的风险承受能力进行评估，确保投资者风险承受能力评估的客观性、及时性和有效性；</w:t>
            </w:r>
          </w:p>
          <w:p>
            <w:pPr>
              <w:spacing w:line="200" w:lineRule="exact"/>
              <w:jc w:val="left"/>
            </w:pPr>
            <w:r>
              <w:rPr>
                <w:rFonts w:ascii="宋体" w:hAnsi="宋体" w:cs="宋体"/>
              </w:rPr>
              <w:t>3.妥善保管投资者理财产品销售材料，保管年限不低于20年；</w:t>
            </w:r>
          </w:p>
          <w:p>
            <w:pPr>
              <w:spacing w:line="200" w:lineRule="exact"/>
              <w:jc w:val="left"/>
            </w:pPr>
            <w:r>
              <w:rPr>
                <w:rFonts w:ascii="宋体" w:hAnsi="宋体" w:cs="宋体"/>
              </w:rPr>
              <w:t>4.根据反洗钱、反恐怖融资及非居民金融账户涉税信息尽职调查等相关法律法规要求识别客户身份；</w:t>
            </w:r>
          </w:p>
          <w:p>
            <w:pPr>
              <w:spacing w:line="200" w:lineRule="exact"/>
              <w:jc w:val="left"/>
            </w:pPr>
            <w:r>
              <w:rPr>
                <w:rFonts w:ascii="宋体" w:hAnsi="宋体" w:cs="宋体"/>
              </w:rPr>
              <w:t>5.建立健全投资者权益保护管理体系，加强投资者适当性管理；</w:t>
            </w:r>
          </w:p>
          <w:p>
            <w:pPr>
              <w:spacing w:line="200" w:lineRule="exact"/>
              <w:jc w:val="left"/>
            </w:pPr>
            <w:r>
              <w:rPr>
                <w:rFonts w:ascii="宋体" w:hAnsi="宋体" w:cs="宋体"/>
              </w:rPr>
              <w:t>6.国务院银行业监督管理机构规定及本理财产品管理人与销售机构约定的其他职责。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4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本理财产品托管人为南京银行股份有限公司，主要职责如下：</w:t>
            </w:r>
          </w:p>
          <w:p>
            <w:pPr>
              <w:spacing w:line="200" w:lineRule="exact"/>
            </w:pPr>
            <w:r>
              <w:rPr>
                <w:rFonts w:ascii="宋体" w:hAnsi="宋体" w:cs="宋体"/>
              </w:rPr>
              <w:t>1.安全保管理财产品财产；</w:t>
            </w:r>
          </w:p>
          <w:p>
            <w:pPr>
              <w:spacing w:line="200" w:lineRule="exact"/>
            </w:pPr>
            <w:r>
              <w:rPr>
                <w:rFonts w:ascii="宋体" w:hAnsi="宋体" w:cs="宋体"/>
              </w:rPr>
              <w:t>2.为每只理财产品开设独立的托管账户，不同托管账户中的资产应当相互独立；</w:t>
            </w:r>
          </w:p>
          <w:p>
            <w:pPr>
              <w:spacing w:line="200" w:lineRule="exact"/>
            </w:pPr>
            <w:r>
              <w:rPr>
                <w:rFonts w:ascii="宋体" w:hAnsi="宋体" w:cs="宋体"/>
              </w:rPr>
              <w:t>3.按照托管协议约定和管理人的投资指令，及时办理清算、交割事宜；</w:t>
            </w:r>
          </w:p>
          <w:p>
            <w:pPr>
              <w:spacing w:line="200" w:lineRule="exact"/>
            </w:pPr>
            <w:r>
              <w:rPr>
                <w:rFonts w:ascii="宋体" w:hAnsi="宋体" w:cs="宋体"/>
              </w:rPr>
              <w:t>4.建立与管理人的对账机制，复核、审查理财产品资金头寸、资产账目、资产净值、认购和赎回价格等数据，及时核查认购、赎回以及投资资金的支付和到账情况；</w:t>
            </w:r>
          </w:p>
          <w:p>
            <w:pPr>
              <w:spacing w:line="200" w:lineRule="exact"/>
            </w:pPr>
            <w:r>
              <w:rPr>
                <w:rFonts w:ascii="宋体" w:hAnsi="宋体" w:cs="宋体"/>
              </w:rPr>
              <w:t>5.监督理财产品投资运作，发现理财产品违反法律、行政法规、规章规定或合同约定进行投资的，应当拒绝执行，及时通知管理人并报告银行业监督管理机构；</w:t>
            </w:r>
          </w:p>
          <w:p>
            <w:pPr>
              <w:spacing w:line="200" w:lineRule="exact"/>
            </w:pPr>
            <w:r>
              <w:rPr>
                <w:rFonts w:ascii="宋体" w:hAnsi="宋体" w:cs="宋体"/>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200" w:lineRule="exact"/>
            </w:pPr>
            <w:r>
              <w:rPr>
                <w:rFonts w:ascii="宋体" w:hAnsi="宋体" w:cs="宋体"/>
              </w:rPr>
              <w:t>7.理财托管业务活动的记录、账册、报表和其他相关资料保存20年以上；</w:t>
            </w:r>
          </w:p>
          <w:p>
            <w:pPr>
              <w:spacing w:line="200" w:lineRule="exact"/>
            </w:pPr>
            <w:r>
              <w:rPr>
                <w:rFonts w:ascii="宋体" w:hAnsi="宋体" w:cs="宋体"/>
              </w:rPr>
              <w:t>8.对理财产品投资信息和相关资料承担保密责任，除法律、行政法规、规章规定、审计要求或者合同约定外，不得向任何机构或者个人提供相关信息和资料；</w:t>
            </w:r>
          </w:p>
          <w:p>
            <w:pPr>
              <w:spacing w:line="200" w:lineRule="exact"/>
            </w:pPr>
            <w:r>
              <w:rPr>
                <w:rFonts w:ascii="宋体" w:hAnsi="宋体" w:cs="宋体"/>
              </w:rPr>
              <w:t>9.国务院银行业监督管理机构规定及本理财产品相关托管协议中约定的其他职责。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59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本理财产品合作机构为江苏省国际信托有限责任公司、平安资产管理有限责任公司、太平洋资产管理有限责任公司、中国对外经济贸易信托有限公司、中融基金管理有限公司、鑫元基金管理有限公司，上述投资合作机构主要职责对应如下，具体职责以管理人与投资合作机构签署的合同为准。</w:t>
            </w:r>
          </w:p>
          <w:p>
            <w:pPr>
              <w:spacing w:line="200" w:lineRule="exact"/>
            </w:pPr>
            <w:r>
              <w:rPr>
                <w:rFonts w:ascii="宋体" w:hAnsi="宋体" w:cs="宋体"/>
              </w:rPr>
              <w:t>1.合作机构为理财产品所投资资产管理产品的发行机构，主要承担资产管理产品的管理人职责：平安资产管理有限责任公司、太平洋资产管理有限责任公司。</w:t>
            </w:r>
          </w:p>
          <w:p>
            <w:pPr>
              <w:spacing w:line="200" w:lineRule="exact"/>
            </w:pPr>
            <w:r>
              <w:rPr>
                <w:rFonts w:ascii="宋体" w:hAnsi="宋体" w:cs="宋体"/>
              </w:rPr>
              <w:t>2.合作机构为从事理财产品受托投资的机构，主要承担根据合同约定进行受托资金的投资管理的职责：江苏省国际信托有限责任公司、中国对外经济贸易信托有限公司、中融基金管理有限公司、鑫元基金管理有限公司。</w:t>
            </w:r>
          </w:p>
          <w:p>
            <w:pPr>
              <w:spacing w:line="200" w:lineRule="exact"/>
            </w:pPr>
            <w:r>
              <w:rPr>
                <w:rFonts w:ascii="宋体" w:hAnsi="宋体" w:cs="宋体"/>
              </w:rPr>
              <w:t>若上述合作机构及其职责发生调整，管理人将在本理财产品的定期报告中进行信息披露。</w:t>
            </w:r>
          </w:p>
          <w:p>
            <w:pPr>
              <w:spacing w:line="200" w:lineRule="exact"/>
            </w:pPr>
            <w:r>
              <w:rPr>
                <w:rFonts w:ascii="宋体" w:hAnsi="宋体" w:cs="宋体"/>
              </w:rPr>
              <w:t>上述投资合作机构简介：</w:t>
            </w:r>
          </w:p>
          <w:p>
            <w:pPr>
              <w:spacing w:line="200" w:lineRule="exact"/>
            </w:pPr>
            <w:r>
              <w:rPr>
                <w:rFonts w:ascii="宋体" w:hAnsi="宋体" w:cs="宋体"/>
              </w:rPr>
              <w:t>江苏省国际信托有限责任公司成立于1992年06月01日，注册资本金87.60亿元。</w:t>
            </w:r>
          </w:p>
          <w:p>
            <w:pPr>
              <w:spacing w:line="200" w:lineRule="exact"/>
            </w:pPr>
            <w:r>
              <w:rPr>
                <w:rFonts w:ascii="宋体" w:hAnsi="宋体" w:cs="宋体"/>
              </w:rPr>
              <w:t>平安资产管理有限责任公司成立于2005年05月27日，注册资本金15亿元。</w:t>
            </w:r>
          </w:p>
          <w:p>
            <w:pPr>
              <w:spacing w:line="200" w:lineRule="exact"/>
            </w:pPr>
            <w:r>
              <w:rPr>
                <w:rFonts w:ascii="宋体" w:hAnsi="宋体" w:cs="宋体"/>
              </w:rPr>
              <w:t>太平洋资产管理有限责任公司成立于2006年06月09日，注册资本金21亿元。</w:t>
            </w:r>
          </w:p>
          <w:p>
            <w:pPr>
              <w:spacing w:line="200" w:lineRule="exact"/>
            </w:pPr>
            <w:r>
              <w:rPr>
                <w:rFonts w:ascii="宋体" w:hAnsi="宋体" w:cs="宋体"/>
              </w:rPr>
              <w:t>中国对外经济贸易信托有限公司成立于1987年09月30日，注册资本金800000万元人民币。</w:t>
            </w:r>
          </w:p>
          <w:p>
            <w:pPr>
              <w:spacing w:line="200" w:lineRule="exact"/>
            </w:pPr>
            <w:r>
              <w:rPr>
                <w:rFonts w:ascii="宋体" w:hAnsi="宋体" w:cs="宋体"/>
              </w:rPr>
              <w:t>中融基金管理有限公司成立于2013年05月31日，注册资本金11.5亿元。</w:t>
            </w:r>
          </w:p>
          <w:p>
            <w:pPr>
              <w:spacing w:line="200" w:lineRule="exact"/>
            </w:pPr>
            <w:r>
              <w:rPr>
                <w:rFonts w:ascii="宋体" w:hAnsi="宋体" w:cs="宋体"/>
              </w:rPr>
              <w:t>鑫元基金管理有限公司成立于2013年08月29日，注册资本金17亿元。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14"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宋体" w:hAnsi="宋体" w:cs="宋体"/>
                <w:color w:val="000000"/>
              </w:rPr>
              <w:t>1.本理财产品为封闭式产品，在封闭期内不开放申购/赎回，投资者应考虑产品期限并合理安排自身投资计划。如遇理财产品所投资资产部分或全部提前偿付、因不可抗力因素导致本理财产品必须提前终止等情形时，管理人有权提前终止本产品。</w:t>
            </w:r>
          </w:p>
          <w:p>
            <w:pPr>
              <w:spacing w:line="200" w:lineRule="exact"/>
              <w:jc w:val="left"/>
            </w:pPr>
            <w:r>
              <w:rPr>
                <w:rFonts w:ascii="宋体" w:hAnsi="宋体" w:cs="宋体"/>
                <w:color w:val="000000"/>
              </w:rPr>
              <w:t>2.管理人在本理财产品存续期间按照监管规定进行信息披露，详见本理财产品说明书第五条信息披露。</w:t>
            </w:r>
          </w:p>
          <w:p>
            <w:pPr>
              <w:spacing w:line="200" w:lineRule="exact"/>
              <w:jc w:val="left"/>
            </w:pPr>
            <w:r>
              <w:rPr>
                <w:rFonts w:ascii="宋体" w:hAnsi="宋体" w:cs="宋体"/>
                <w:color w:val="000000"/>
              </w:rPr>
              <w:t>3.本理财产品投资的资产管理产品的业绩报酬、赎回费等的提取（如有）可能造成本理财产品净值的下降。</w:t>
            </w:r>
          </w:p>
          <w:p>
            <w:pPr>
              <w:spacing w:line="200" w:lineRule="exact"/>
              <w:jc w:val="left"/>
            </w:pPr>
            <w:r>
              <w:rPr>
                <w:rFonts w:ascii="宋体" w:hAnsi="宋体" w:cs="宋体"/>
                <w:b/>
                <w:color w:val="000000"/>
              </w:rPr>
              <w:t>4.本理财产品可能投资不存在活跃交易市场且需要采用估值技术确定公允价值的资产，且计划投资前述资产的比例达到本理财产品净资产50%以上（“以上”含本数）。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2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jc w:val="left"/>
              <w:rPr>
                <w:kern w:val="0"/>
              </w:rPr>
            </w:pPr>
            <w:r>
              <w:rPr>
                <w:rFonts w:hint="eastAsia" w:ascii="宋体"/>
                <w:kern w:val="0"/>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宋体" w:hAnsi="宋体" w:cs="宋体"/>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pPr>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pPr>
        <w:pStyle w:val="20"/>
        <w:widowControl/>
        <w:spacing w:line="200" w:lineRule="exact"/>
        <w:outlineLvl w:val="0"/>
        <w:rPr>
          <w:b/>
          <w:bCs/>
          <w:color w:val="3D3D3D"/>
          <w:kern w:val="0"/>
          <w:sz w:val="15"/>
          <w:szCs w:val="15"/>
        </w:rPr>
      </w:pPr>
      <w:r>
        <w:rPr>
          <w:rFonts w:hint="eastAsia" w:ascii="宋体"/>
          <w:b/>
          <w:bCs/>
          <w:color w:val="3D3D3D"/>
          <w:kern w:val="0"/>
          <w:sz w:val="15"/>
          <w:szCs w:val="15"/>
        </w:rPr>
        <w:t>第二条</w:t>
      </w:r>
      <w:r>
        <w:rPr>
          <w:rFonts w:hint="eastAsia"/>
          <w:b/>
          <w:bCs/>
          <w:color w:val="3D3D3D"/>
          <w:kern w:val="0"/>
          <w:sz w:val="15"/>
          <w:szCs w:val="15"/>
        </w:rPr>
        <w:t xml:space="preserve">  </w:t>
      </w:r>
      <w:r>
        <w:rPr>
          <w:rFonts w:hint="eastAsia" w:ascii="宋体"/>
          <w:b/>
          <w:bCs/>
          <w:color w:val="3D3D3D"/>
          <w:kern w:val="0"/>
          <w:sz w:val="15"/>
          <w:szCs w:val="15"/>
        </w:rPr>
        <w:t>名词释义</w:t>
      </w:r>
    </w:p>
    <w:p>
      <w:pPr>
        <w:pStyle w:val="20"/>
        <w:widowControl/>
        <w:spacing w:line="200" w:lineRule="exact"/>
        <w:ind w:firstLine="289"/>
        <w:rPr>
          <w:color w:val="3D3D3D"/>
          <w:kern w:val="0"/>
          <w:sz w:val="15"/>
          <w:szCs w:val="15"/>
        </w:rPr>
      </w:pPr>
      <w:r>
        <w:rPr>
          <w:rFonts w:hint="eastAsia" w:ascii="宋体"/>
          <w:color w:val="3D3D3D"/>
          <w:kern w:val="0"/>
          <w:sz w:val="15"/>
          <w:szCs w:val="15"/>
        </w:rPr>
        <w:t>在本理财产品说明书中，除非上下文另有明确约定，下列用词将具有如下含义：</w:t>
      </w:r>
    </w:p>
    <w:p>
      <w:pPr>
        <w:pStyle w:val="20"/>
        <w:widowControl/>
        <w:numPr>
          <w:ilvl w:val="0"/>
          <w:numId w:val="1"/>
        </w:numPr>
        <w:spacing w:line="200" w:lineRule="exact"/>
        <w:ind w:left="0" w:firstLine="289"/>
        <w:outlineLvl w:val="1"/>
        <w:rPr>
          <w:color w:val="3D3D3D"/>
          <w:kern w:val="0"/>
          <w:sz w:val="15"/>
          <w:szCs w:val="15"/>
        </w:rPr>
      </w:pPr>
      <w:r>
        <w:rPr>
          <w:rFonts w:hint="eastAsia" w:ascii="宋体"/>
          <w:color w:val="3D3D3D"/>
          <w:kern w:val="0"/>
          <w:sz w:val="15"/>
          <w:szCs w:val="15"/>
        </w:rPr>
        <w:t>参与主体用语</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pPr>
        <w:pStyle w:val="20"/>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pPr>
        <w:pStyle w:val="20"/>
        <w:widowControl/>
        <w:numPr>
          <w:ilvl w:val="0"/>
          <w:numId w:val="1"/>
        </w:numPr>
        <w:spacing w:line="200" w:lineRule="exact"/>
        <w:ind w:left="0" w:firstLine="289"/>
        <w:outlineLvl w:val="1"/>
        <w:rPr>
          <w:color w:val="3D3D3D"/>
          <w:kern w:val="0"/>
          <w:sz w:val="15"/>
          <w:szCs w:val="15"/>
        </w:rPr>
      </w:pPr>
      <w:r>
        <w:rPr>
          <w:rFonts w:hint="eastAsia" w:ascii="宋体"/>
          <w:color w:val="3D3D3D"/>
          <w:kern w:val="0"/>
          <w:sz w:val="15"/>
          <w:szCs w:val="15"/>
        </w:rPr>
        <w:t>法律文件用语</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pPr>
        <w:pStyle w:val="20"/>
        <w:widowControl/>
        <w:numPr>
          <w:ilvl w:val="0"/>
          <w:numId w:val="1"/>
        </w:numPr>
        <w:spacing w:line="200" w:lineRule="exact"/>
        <w:ind w:left="0" w:firstLine="289"/>
        <w:outlineLvl w:val="1"/>
        <w:rPr>
          <w:color w:val="3D3D3D"/>
          <w:kern w:val="0"/>
          <w:sz w:val="15"/>
          <w:szCs w:val="15"/>
        </w:rPr>
      </w:pPr>
      <w:r>
        <w:rPr>
          <w:rFonts w:hint="eastAsia" w:ascii="宋体"/>
          <w:color w:val="3D3D3D"/>
          <w:kern w:val="0"/>
          <w:sz w:val="15"/>
          <w:szCs w:val="15"/>
        </w:rPr>
        <w:t>期间与日期</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pPr>
        <w:pStyle w:val="20"/>
        <w:widowControl/>
        <w:numPr>
          <w:ilvl w:val="0"/>
          <w:numId w:val="1"/>
        </w:numPr>
        <w:spacing w:line="200" w:lineRule="exact"/>
        <w:ind w:left="0" w:firstLine="289"/>
        <w:outlineLvl w:val="1"/>
        <w:rPr>
          <w:color w:val="3D3D3D"/>
          <w:kern w:val="0"/>
          <w:sz w:val="15"/>
          <w:szCs w:val="15"/>
        </w:rPr>
      </w:pPr>
      <w:r>
        <w:rPr>
          <w:rFonts w:hint="eastAsia" w:ascii="宋体"/>
          <w:color w:val="3D3D3D"/>
          <w:kern w:val="0"/>
          <w:sz w:val="15"/>
          <w:szCs w:val="15"/>
        </w:rPr>
        <w:t>理财产品用语</w:t>
      </w:r>
    </w:p>
    <w:p>
      <w:pPr>
        <w:pStyle w:val="20"/>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南银理财珠联璧合鑫逸稳两年32期封闭式公募人民币理财产品</w:t>
      </w:r>
      <w:r>
        <w:rPr>
          <w:rFonts w:hint="eastAsia" w:ascii="宋体"/>
          <w:color w:val="3D3D3D"/>
          <w:kern w:val="0"/>
          <w:sz w:val="15"/>
          <w:szCs w:val="15"/>
        </w:rPr>
        <w:t>。</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产品份额净值=产品资产净值/产品总份额。投资者按该份额净值进行理财产品认购、申购和赎回、获得到期/终止时分配。产品份额净值按去尾法保留</w:t>
      </w:r>
      <w:r>
        <w:rPr>
          <w:rFonts w:hint="eastAsia"/>
          <w:bCs/>
          <w:color w:val="3D3D3D"/>
          <w:kern w:val="0"/>
          <w:sz w:val="15"/>
          <w:szCs w:val="15"/>
        </w:rPr>
        <w:t>4</w:t>
      </w:r>
      <w:r>
        <w:rPr>
          <w:bCs/>
          <w:color w:val="3D3D3D"/>
          <w:kern w:val="0"/>
          <w:sz w:val="15"/>
          <w:szCs w:val="15"/>
        </w:rPr>
        <w:t>位小数。</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pPr>
        <w:pStyle w:val="20"/>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pPr>
        <w:pStyle w:val="20"/>
        <w:widowControl/>
        <w:numPr>
          <w:ilvl w:val="0"/>
          <w:numId w:val="1"/>
        </w:numPr>
        <w:spacing w:line="200" w:lineRule="exact"/>
        <w:ind w:left="0" w:firstLine="289"/>
        <w:outlineLvl w:val="1"/>
        <w:rPr>
          <w:color w:val="3D3D3D"/>
          <w:kern w:val="0"/>
          <w:sz w:val="15"/>
          <w:szCs w:val="15"/>
        </w:rPr>
      </w:pPr>
      <w:r>
        <w:rPr>
          <w:rFonts w:hint="eastAsia" w:ascii="宋体"/>
          <w:color w:val="3D3D3D"/>
          <w:kern w:val="0"/>
          <w:sz w:val="15"/>
          <w:szCs w:val="15"/>
        </w:rPr>
        <w:t>其他</w:t>
      </w:r>
    </w:p>
    <w:p>
      <w:pPr>
        <w:pStyle w:val="20"/>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1.不可抗力：指理财产品各方不能预见、不能避免且不能克服的客观情况，该事件妨碍、影响或延误任何一方依相关理财产品销售文件的约定履行其全部或部分义务。该事件包括但不限于：</w:t>
      </w:r>
    </w:p>
    <w:p>
      <w:pPr>
        <w:pStyle w:val="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pPr>
        <w:pStyle w:val="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pPr>
        <w:pStyle w:val="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pPr>
        <w:pStyle w:val="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pPr>
        <w:pStyle w:val="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pPr>
        <w:pStyle w:val="3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pPr>
        <w:pStyle w:val="20"/>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pPr>
        <w:pStyle w:val="20"/>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pPr>
        <w:pStyle w:val="20"/>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widowControl/>
        <w:spacing w:line="200" w:lineRule="exact"/>
        <w:rPr>
          <w:rFonts w:ascii="宋体"/>
          <w:b/>
          <w:bCs/>
          <w:kern w:val="0"/>
          <w:sz w:val="15"/>
          <w:szCs w:val="15"/>
        </w:rPr>
      </w:pPr>
      <w:r>
        <w:rPr>
          <w:rFonts w:hint="eastAsia" w:ascii="宋体"/>
          <w:b/>
          <w:bCs/>
          <w:kern w:val="0"/>
          <w:sz w:val="15"/>
          <w:szCs w:val="15"/>
        </w:rPr>
        <w:t>第三条  情景示例</w:t>
      </w:r>
    </w:p>
    <w:p>
      <w:pPr>
        <w:spacing w:line="200" w:lineRule="exact"/>
        <w:ind w:firstLine="280"/>
        <w:jc w:val="left"/>
      </w:pPr>
      <w:r>
        <w:rPr>
          <w:rFonts w:ascii="宋体" w:hAnsi="宋体" w:cs="宋体"/>
          <w:sz w:val="15"/>
        </w:rPr>
        <w:t>假设：投资者投资本理财产品</w:t>
      </w:r>
      <w:r>
        <w:rPr>
          <w:sz w:val="15"/>
        </w:rPr>
        <w:t>10</w:t>
      </w:r>
      <w:r>
        <w:rPr>
          <w:rFonts w:ascii="宋体" w:hAnsi="宋体" w:cs="宋体"/>
          <w:sz w:val="15"/>
        </w:rPr>
        <w:t>万元，成立日当日产品净值为</w:t>
      </w:r>
      <w:r>
        <w:rPr>
          <w:sz w:val="15"/>
        </w:rPr>
        <w:t>1.0000</w:t>
      </w:r>
      <w:r>
        <w:rPr>
          <w:rFonts w:ascii="宋体" w:hAnsi="宋体" w:cs="宋体"/>
          <w:sz w:val="15"/>
        </w:rPr>
        <w:t>元，折算份额</w:t>
      </w:r>
      <w:r>
        <w:rPr>
          <w:sz w:val="15"/>
        </w:rPr>
        <w:t>100,000</w:t>
      </w:r>
      <w:r>
        <w:rPr>
          <w:rFonts w:ascii="宋体" w:hAnsi="宋体" w:cs="宋体"/>
          <w:sz w:val="15"/>
        </w:rPr>
        <w:t>份。</w:t>
      </w:r>
    </w:p>
    <w:p>
      <w:pPr>
        <w:spacing w:line="200" w:lineRule="exact"/>
        <w:ind w:firstLine="280"/>
        <w:jc w:val="left"/>
      </w:pPr>
      <w:r>
        <w:rPr>
          <w:rFonts w:ascii="宋体" w:hAnsi="宋体" w:cs="宋体"/>
          <w:sz w:val="15"/>
        </w:rPr>
        <w:t>情景示例一：产品实际到期日，扣除所有税费后（如有业绩报酬，已扣除）的期末产品每份额净值为</w:t>
      </w:r>
      <w:r>
        <w:rPr>
          <w:sz w:val="15"/>
        </w:rPr>
        <w:t>1.0300</w:t>
      </w:r>
      <w:r>
        <w:rPr>
          <w:rFonts w:ascii="宋体" w:hAnsi="宋体" w:cs="宋体"/>
          <w:sz w:val="15"/>
        </w:rPr>
        <w:t>，则客户在资金到帐日收到到期款项为</w:t>
      </w:r>
      <w:r>
        <w:rPr>
          <w:sz w:val="15"/>
        </w:rPr>
        <w:t>103,000</w:t>
      </w:r>
      <w:r>
        <w:rPr>
          <w:rFonts w:ascii="宋体" w:hAnsi="宋体" w:cs="宋体"/>
          <w:sz w:val="15"/>
        </w:rPr>
        <w:t>元。</w:t>
      </w:r>
    </w:p>
    <w:p>
      <w:pPr>
        <w:spacing w:line="200" w:lineRule="exact"/>
        <w:ind w:firstLine="280"/>
        <w:jc w:val="left"/>
      </w:pPr>
      <w:r>
        <w:rPr>
          <w:rFonts w:ascii="宋体" w:hAnsi="宋体" w:cs="宋体"/>
          <w:sz w:val="15"/>
        </w:rPr>
        <w:t>情景示例二：产品实际到期日，扣除所有税费后（如有业绩报酬，已扣除）的期末产品每份额净值为</w:t>
      </w:r>
      <w:r>
        <w:rPr>
          <w:sz w:val="15"/>
        </w:rPr>
        <w:t>0.9700</w:t>
      </w:r>
      <w:r>
        <w:rPr>
          <w:rFonts w:ascii="宋体" w:hAnsi="宋体" w:cs="宋体"/>
          <w:sz w:val="15"/>
        </w:rPr>
        <w:t>，则客户在资金到帐日收到到期款项为</w:t>
      </w:r>
      <w:r>
        <w:rPr>
          <w:sz w:val="15"/>
        </w:rPr>
        <w:t>97,000</w:t>
      </w:r>
      <w:r>
        <w:rPr>
          <w:rFonts w:ascii="宋体" w:hAnsi="宋体" w:cs="宋体"/>
          <w:sz w:val="15"/>
        </w:rPr>
        <w:t>元。</w:t>
      </w:r>
      <w:r>
        <w:rPr>
          <w:rFonts w:ascii="宋体" w:hAnsi="宋体" w:cs="宋体"/>
          <w:color w:val="000000"/>
          <w:sz w:val="15"/>
        </w:rPr>
        <w:t>以上数据为假设情形中的模拟数据，不代表实际收益，投资须谨慎。</w:t>
      </w:r>
    </w:p>
    <w:p>
      <w:pPr>
        <w:widowControl/>
        <w:spacing w:line="200" w:lineRule="exact"/>
        <w:ind w:firstLine="300" w:firstLineChars="200"/>
        <w:rPr>
          <w:rFonts w:ascii="宋体"/>
          <w:sz w:val="15"/>
          <w:szCs w:val="15"/>
        </w:rPr>
      </w:pPr>
      <w:r>
        <w:rPr>
          <w:rFonts w:hint="eastAsia" w:ascii="宋体"/>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pPr>
        <w:widowControl/>
        <w:spacing w:line="200" w:lineRule="exact"/>
        <w:ind w:firstLine="300" w:firstLineChars="200"/>
        <w:rPr>
          <w:rFonts w:ascii="宋体"/>
        </w:rPr>
      </w:pPr>
      <w:r>
        <w:rPr>
          <w:rFonts w:hint="eastAsia" w:ascii="宋体"/>
          <w:b/>
          <w:bCs/>
          <w:kern w:val="0"/>
          <w:sz w:val="15"/>
          <w:szCs w:val="15"/>
        </w:rPr>
        <w:t>风险提示：如出现本理财产品所投资的资产或资产组合项下义务人出现无法兑付本金等极端情况，产品运作到期后投资者可能无收益，并可能损失全部本金。</w:t>
      </w:r>
    </w:p>
    <w:p>
      <w:pPr>
        <w:widowControl/>
        <w:spacing w:line="200" w:lineRule="exact"/>
        <w:rPr>
          <w:b/>
          <w:kern w:val="0"/>
          <w:sz w:val="15"/>
          <w:szCs w:val="15"/>
        </w:rPr>
      </w:pPr>
      <w:r>
        <w:rPr>
          <w:rFonts w:hint="eastAsia" w:ascii="宋体"/>
          <w:b/>
          <w:bCs/>
          <w:kern w:val="0"/>
          <w:sz w:val="15"/>
          <w:szCs w:val="15"/>
        </w:rPr>
        <w:t>第四</w:t>
      </w:r>
      <w:r>
        <w:rPr>
          <w:rFonts w:hint="eastAsia" w:ascii="宋体"/>
          <w:b/>
          <w:kern w:val="0"/>
          <w:sz w:val="15"/>
          <w:szCs w:val="15"/>
        </w:rPr>
        <w:t>条</w:t>
      </w:r>
      <w:r>
        <w:rPr>
          <w:rFonts w:hint="eastAsia"/>
          <w:b/>
          <w:kern w:val="0"/>
          <w:sz w:val="15"/>
          <w:szCs w:val="15"/>
        </w:rPr>
        <w:t xml:space="preserve">  </w:t>
      </w:r>
      <w:r>
        <w:rPr>
          <w:rFonts w:hint="eastAsia" w:ascii="宋体"/>
          <w:b/>
          <w:kern w:val="0"/>
          <w:sz w:val="15"/>
          <w:szCs w:val="15"/>
        </w:rPr>
        <w:t>理财产品估值</w:t>
      </w:r>
    </w:p>
    <w:p>
      <w:pPr>
        <w:spacing w:line="200" w:lineRule="exact"/>
        <w:ind w:firstLine="300"/>
      </w:pPr>
      <w:r>
        <w:rPr>
          <w:rFonts w:ascii="宋体" w:hAnsi="宋体" w:cs="宋体"/>
          <w:sz w:val="15"/>
        </w:rPr>
        <w:t>（一）估值日</w:t>
      </w:r>
    </w:p>
    <w:p>
      <w:pPr>
        <w:spacing w:line="200" w:lineRule="exact"/>
        <w:ind w:firstLine="300"/>
      </w:pPr>
      <w:r>
        <w:rPr>
          <w:rFonts w:ascii="宋体" w:hAnsi="宋体" w:cs="宋体"/>
          <w:sz w:val="15"/>
        </w:rPr>
        <w:t>本理财产品每个工作日进行估值。</w:t>
      </w:r>
    </w:p>
    <w:p>
      <w:pPr>
        <w:spacing w:line="200" w:lineRule="exact"/>
        <w:ind w:firstLine="300"/>
      </w:pPr>
      <w:r>
        <w:rPr>
          <w:rFonts w:ascii="宋体" w:hAnsi="宋体" w:cs="宋体"/>
          <w:sz w:val="15"/>
        </w:rPr>
        <w:t>（二）估值对象</w:t>
      </w:r>
    </w:p>
    <w:p>
      <w:pPr>
        <w:spacing w:line="200" w:lineRule="exact"/>
        <w:ind w:firstLine="300"/>
      </w:pPr>
      <w:r>
        <w:rPr>
          <w:rFonts w:ascii="宋体" w:hAnsi="宋体" w:cs="宋体"/>
          <w:sz w:val="15"/>
        </w:rPr>
        <w:t>本理财产品所拥有的所有资产及负债。</w:t>
      </w:r>
    </w:p>
    <w:p>
      <w:pPr>
        <w:spacing w:line="200" w:lineRule="exact"/>
        <w:ind w:firstLine="300"/>
      </w:pPr>
      <w:r>
        <w:rPr>
          <w:rFonts w:ascii="宋体" w:hAnsi="宋体" w:cs="宋体"/>
          <w:sz w:val="15"/>
        </w:rPr>
        <w:t>（三）估值目的</w:t>
      </w:r>
    </w:p>
    <w:p>
      <w:pPr>
        <w:spacing w:line="200" w:lineRule="exact"/>
        <w:ind w:firstLine="300"/>
      </w:pPr>
      <w:r>
        <w:rPr>
          <w:rFonts w:ascii="宋体" w:hAnsi="宋体" w:cs="宋体"/>
          <w:sz w:val="15"/>
        </w:rPr>
        <w:t>客观、准确反映理财产品的价值。</w:t>
      </w:r>
    </w:p>
    <w:p>
      <w:pPr>
        <w:spacing w:line="200" w:lineRule="exact"/>
        <w:ind w:firstLine="300"/>
      </w:pPr>
      <w:r>
        <w:rPr>
          <w:rFonts w:ascii="宋体" w:hAnsi="宋体" w:cs="宋体"/>
          <w:sz w:val="15"/>
        </w:rPr>
        <w:t>（四）估值原则</w:t>
      </w:r>
    </w:p>
    <w:p>
      <w:pPr>
        <w:spacing w:line="200" w:lineRule="exact"/>
        <w:ind w:firstLine="300"/>
      </w:pPr>
      <w:r>
        <w:rPr>
          <w:rFonts w:ascii="宋体" w:hAnsi="宋体" w:cs="宋体"/>
          <w:sz w:val="15"/>
        </w:rPr>
        <w:t>理财产品应坚持公允价值计量原则，符合会计准则和监管规定的范围内的可选择摊余成本法计量。</w:t>
      </w:r>
    </w:p>
    <w:p>
      <w:pPr>
        <w:spacing w:line="200" w:lineRule="exact"/>
        <w:ind w:firstLine="300"/>
      </w:pPr>
      <w:r>
        <w:rPr>
          <w:rFonts w:ascii="宋体" w:hAnsi="宋体" w:cs="宋体"/>
          <w:sz w:val="15"/>
        </w:rPr>
        <w:t>（五）估值方法</w:t>
      </w:r>
    </w:p>
    <w:p>
      <w:pPr>
        <w:spacing w:line="200" w:lineRule="exact"/>
        <w:ind w:firstLine="300"/>
      </w:pPr>
      <w:r>
        <w:rPr>
          <w:rFonts w:ascii="宋体" w:hAnsi="宋体" w:cs="宋体"/>
          <w:color w:val="000000"/>
          <w:sz w:val="15"/>
        </w:rPr>
        <w:t>估值方法中列示的资产品种不代表管理人的实际投向，本理财产品拟投资范围以“投资范围”章节描述为准。</w:t>
      </w:r>
    </w:p>
    <w:p>
      <w:pPr>
        <w:spacing w:line="200" w:lineRule="exact"/>
        <w:ind w:firstLine="300"/>
      </w:pPr>
      <w:r>
        <w:rPr>
          <w:rFonts w:ascii="宋体" w:hAnsi="宋体" w:cs="宋体"/>
          <w:color w:val="000000"/>
          <w:sz w:val="15"/>
        </w:rPr>
        <w:t>1.银行存款、回购等货币市场工具</w:t>
      </w:r>
    </w:p>
    <w:p>
      <w:pPr>
        <w:spacing w:line="200" w:lineRule="exact"/>
        <w:ind w:firstLine="300"/>
      </w:pPr>
      <w:r>
        <w:rPr>
          <w:rFonts w:ascii="宋体" w:hAnsi="宋体" w:cs="宋体"/>
          <w:color w:val="000000"/>
          <w:sz w:val="15"/>
        </w:rPr>
        <w:t>以本金列示，按商定的利率在实际持有期间内逐日计提。</w:t>
      </w:r>
    </w:p>
    <w:p>
      <w:pPr>
        <w:spacing w:line="200" w:lineRule="exact"/>
        <w:ind w:firstLine="300"/>
      </w:pPr>
      <w:r>
        <w:rPr>
          <w:rFonts w:ascii="宋体" w:hAnsi="宋体" w:cs="宋体"/>
          <w:color w:val="000000"/>
          <w:sz w:val="15"/>
        </w:rPr>
        <w:t>2.债券类资产</w:t>
      </w:r>
    </w:p>
    <w:p>
      <w:pPr>
        <w:spacing w:line="200" w:lineRule="exact"/>
        <w:ind w:firstLine="300"/>
      </w:pPr>
      <w:r>
        <w:rPr>
          <w:rFonts w:ascii="宋体" w:hAnsi="宋体" w:cs="宋体"/>
          <w:color w:val="000000"/>
          <w:sz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spacing w:line="200" w:lineRule="exact"/>
        <w:ind w:firstLine="300"/>
      </w:pPr>
      <w:r>
        <w:rPr>
          <w:rFonts w:ascii="宋体" w:hAnsi="宋体" w:cs="宋体"/>
          <w:color w:val="000000"/>
          <w:sz w:val="15"/>
        </w:rPr>
        <w:t>3.非标准化债权类资产</w:t>
      </w:r>
    </w:p>
    <w:p>
      <w:pPr>
        <w:spacing w:line="200" w:lineRule="exact"/>
        <w:ind w:firstLine="300"/>
      </w:pPr>
      <w:r>
        <w:rPr>
          <w:rFonts w:ascii="宋体" w:hAnsi="宋体" w:cs="宋体"/>
          <w:color w:val="000000"/>
          <w:sz w:val="15"/>
        </w:rPr>
        <w:t>非标准化债权类资产包括理财直接融资工具、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spacing w:line="200" w:lineRule="exact"/>
        <w:ind w:firstLine="300"/>
      </w:pPr>
      <w:r>
        <w:rPr>
          <w:rFonts w:ascii="宋体" w:hAnsi="宋体" w:cs="宋体"/>
          <w:color w:val="000000"/>
          <w:sz w:val="15"/>
        </w:rPr>
        <w:t>4.证券投资基金</w:t>
      </w:r>
    </w:p>
    <w:p>
      <w:pPr>
        <w:spacing w:line="200" w:lineRule="exact"/>
        <w:ind w:firstLine="300"/>
      </w:pPr>
      <w:r>
        <w:rPr>
          <w:rFonts w:ascii="宋体" w:hAnsi="宋体" w:cs="宋体"/>
          <w:color w:val="000000"/>
          <w:sz w:val="15"/>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spacing w:line="200" w:lineRule="exact"/>
        <w:ind w:firstLine="300"/>
      </w:pPr>
      <w:r>
        <w:rPr>
          <w:rFonts w:ascii="宋体" w:hAnsi="宋体" w:cs="宋体"/>
          <w:color w:val="000000"/>
          <w:sz w:val="15"/>
        </w:rPr>
        <w:t>5.股权类资产</w:t>
      </w:r>
    </w:p>
    <w:p>
      <w:pPr>
        <w:spacing w:line="200" w:lineRule="exact"/>
        <w:ind w:firstLine="300"/>
      </w:pPr>
      <w:r>
        <w:rPr>
          <w:rFonts w:ascii="宋体" w:hAnsi="宋体" w:cs="宋体"/>
          <w:color w:val="000000"/>
          <w:sz w:val="15"/>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spacing w:line="200" w:lineRule="exact"/>
        <w:ind w:firstLine="300"/>
      </w:pPr>
      <w:r>
        <w:rPr>
          <w:rFonts w:ascii="宋体" w:hAnsi="宋体" w:cs="宋体"/>
          <w:color w:val="000000"/>
          <w:sz w:val="15"/>
        </w:rPr>
        <w:t>6.资管计划、信托计划等资产</w:t>
      </w:r>
    </w:p>
    <w:p>
      <w:pPr>
        <w:spacing w:line="200" w:lineRule="exact"/>
        <w:ind w:firstLine="300"/>
      </w:pPr>
      <w:r>
        <w:rPr>
          <w:rFonts w:ascii="宋体" w:hAnsi="宋体" w:cs="宋体"/>
          <w:color w:val="000000"/>
          <w:sz w:val="15"/>
        </w:rPr>
        <w:t>存在公允价值的，按照公允价值估值，或采用估值技术确定估值，也可采用被委托机构提供的估值或计量报告。</w:t>
      </w:r>
    </w:p>
    <w:p>
      <w:pPr>
        <w:spacing w:line="200" w:lineRule="exact"/>
        <w:ind w:firstLine="300"/>
      </w:pPr>
      <w:r>
        <w:rPr>
          <w:rFonts w:ascii="宋体" w:hAnsi="宋体" w:cs="宋体"/>
          <w:color w:val="000000"/>
          <w:sz w:val="15"/>
        </w:rPr>
        <w:t>7.其他资产</w:t>
      </w:r>
    </w:p>
    <w:p>
      <w:pPr>
        <w:spacing w:line="200" w:lineRule="exact"/>
        <w:ind w:firstLine="300"/>
      </w:pPr>
      <w:r>
        <w:rPr>
          <w:rFonts w:ascii="宋体" w:hAnsi="宋体" w:cs="宋体"/>
          <w:color w:val="000000"/>
          <w:sz w:val="15"/>
        </w:rPr>
        <w:t>存在公允价值的，按照公允价值估值，或采用估值技术确定估值，也可采用被委托机构提供的估值或计量报告。具体可参考《企业会计准则》以及相关监管政策的规定。</w:t>
      </w:r>
    </w:p>
    <w:p>
      <w:pPr>
        <w:spacing w:line="200" w:lineRule="exact"/>
        <w:ind w:firstLine="300"/>
      </w:pPr>
      <w:r>
        <w:rPr>
          <w:rFonts w:ascii="宋体" w:hAnsi="宋体" w:cs="宋体"/>
          <w:color w:val="000000"/>
          <w:sz w:val="15"/>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spacing w:line="200" w:lineRule="exact"/>
        <w:ind w:firstLine="300"/>
      </w:pPr>
      <w:r>
        <w:rPr>
          <w:rFonts w:ascii="宋体" w:hAnsi="宋体" w:cs="宋体"/>
          <w:color w:val="000000"/>
          <w:sz w:val="15"/>
        </w:rPr>
        <w:t>9.如有新增事项或变更事项，按国家最新规定或管理人最新的约定估值。</w:t>
      </w:r>
    </w:p>
    <w:p>
      <w:pPr>
        <w:spacing w:line="200" w:lineRule="exact"/>
        <w:ind w:firstLine="300"/>
      </w:pPr>
      <w:r>
        <w:rPr>
          <w:rFonts w:ascii="宋体" w:hAnsi="宋体" w:cs="宋体"/>
          <w:sz w:val="15"/>
        </w:rPr>
        <w:t>（六）估值错误及暂停估值</w:t>
      </w:r>
    </w:p>
    <w:p>
      <w:pPr>
        <w:spacing w:line="200" w:lineRule="exact"/>
        <w:ind w:firstLine="300"/>
      </w:pPr>
      <w:r>
        <w:rPr>
          <w:rFonts w:ascii="宋体" w:hAnsi="宋体" w:cs="宋体"/>
          <w:sz w:val="15"/>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中国银行保险监督管理委员会或理财产品合同认定其他情形的，理财产品管理人与托管人协商后可选择暂停估值。</w:t>
      </w:r>
    </w:p>
    <w:p>
      <w:pPr>
        <w:widowControl/>
        <w:spacing w:line="200" w:lineRule="exact"/>
        <w:rPr>
          <w:b/>
          <w:bCs/>
          <w:kern w:val="0"/>
          <w:sz w:val="15"/>
          <w:szCs w:val="15"/>
        </w:rPr>
      </w:pPr>
      <w:r>
        <w:rPr>
          <w:rFonts w:hint="eastAsia" w:ascii="宋体"/>
          <w:b/>
          <w:bCs/>
          <w:kern w:val="0"/>
          <w:sz w:val="15"/>
          <w:szCs w:val="15"/>
        </w:rPr>
        <w:t>第五条</w:t>
      </w:r>
      <w:r>
        <w:rPr>
          <w:rFonts w:hint="eastAsia"/>
          <w:b/>
          <w:bCs/>
          <w:kern w:val="0"/>
          <w:sz w:val="15"/>
          <w:szCs w:val="15"/>
        </w:rPr>
        <w:t xml:space="preserve">  </w:t>
      </w:r>
      <w:r>
        <w:rPr>
          <w:rFonts w:hint="eastAsia" w:ascii="宋体"/>
          <w:b/>
          <w:bCs/>
          <w:kern w:val="0"/>
          <w:sz w:val="15"/>
          <w:szCs w:val="15"/>
        </w:rPr>
        <w:t>信息披露</w:t>
      </w:r>
    </w:p>
    <w:p>
      <w:pPr>
        <w:widowControl/>
        <w:numPr>
          <w:ilvl w:val="0"/>
          <w:numId w:val="3"/>
        </w:numPr>
        <w:spacing w:line="200" w:lineRule="exact"/>
        <w:ind w:left="0" w:firstLine="300" w:firstLineChars="200"/>
        <w:rPr>
          <w:b/>
          <w:bCs/>
          <w:kern w:val="0"/>
          <w:sz w:val="15"/>
          <w:szCs w:val="15"/>
        </w:rPr>
      </w:pPr>
      <w:r>
        <w:rPr>
          <w:rFonts w:hint="eastAsia" w:ascii="宋体"/>
          <w:b/>
          <w:bCs/>
          <w:kern w:val="0"/>
          <w:sz w:val="15"/>
          <w:szCs w:val="15"/>
        </w:rPr>
        <w:t>信息披露渠道</w:t>
      </w:r>
    </w:p>
    <w:p>
      <w:pPr>
        <w:spacing w:line="200" w:lineRule="exact"/>
      </w:pPr>
      <w:r>
        <w:rPr>
          <w:rFonts w:ascii="宋体" w:hAnsi="宋体" w:cs="宋体"/>
          <w:color w:val="3D3D3D"/>
          <w:sz w:val="15"/>
        </w:rPr>
        <w:t xml:space="preserve">  本理财产品的信息披露渠道包括但不限于南银理财官网（www.nanyinwealth.com）、南京银行官网（www.njcb.com.cn）、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pPr>
        <w:widowControl/>
        <w:numPr>
          <w:ilvl w:val="0"/>
          <w:numId w:val="3"/>
        </w:numPr>
        <w:spacing w:line="200" w:lineRule="exact"/>
        <w:ind w:left="0" w:firstLine="300" w:firstLineChars="200"/>
        <w:rPr>
          <w:b/>
          <w:bCs/>
          <w:kern w:val="0"/>
          <w:sz w:val="15"/>
          <w:szCs w:val="15"/>
        </w:rPr>
      </w:pPr>
      <w:r>
        <w:rPr>
          <w:rFonts w:hint="eastAsia" w:ascii="宋体"/>
          <w:b/>
          <w:bCs/>
          <w:kern w:val="0"/>
          <w:sz w:val="15"/>
          <w:szCs w:val="15"/>
        </w:rPr>
        <w:t>信息披露的内容及时间</w:t>
      </w:r>
    </w:p>
    <w:p>
      <w:pPr>
        <w:widowControl/>
        <w:numPr>
          <w:ilvl w:val="0"/>
          <w:numId w:val="4"/>
        </w:numPr>
        <w:spacing w:line="200" w:lineRule="exact"/>
        <w:ind w:left="0" w:firstLine="300" w:firstLineChars="200"/>
        <w:rPr>
          <w:color w:val="3D3D3D"/>
          <w:kern w:val="0"/>
          <w:sz w:val="15"/>
          <w:szCs w:val="15"/>
        </w:rPr>
      </w:pPr>
      <w:r>
        <w:rPr>
          <w:color w:val="3D3D3D"/>
          <w:kern w:val="0"/>
          <w:sz w:val="15"/>
          <w:szCs w:val="15"/>
        </w:rPr>
        <w:t xml:space="preserve"> </w:t>
      </w:r>
      <w:r>
        <w:rPr>
          <w:rFonts w:hint="eastAsia" w:ascii="宋体"/>
          <w:color w:val="3D3D3D"/>
          <w:kern w:val="0"/>
          <w:sz w:val="15"/>
          <w:szCs w:val="15"/>
        </w:rPr>
        <w:t>净值信息</w:t>
      </w:r>
    </w:p>
    <w:p>
      <w:pPr>
        <w:widowControl/>
        <w:spacing w:line="200" w:lineRule="exact"/>
        <w:ind w:firstLine="300"/>
        <w:rPr>
          <w:color w:val="3D3D3D"/>
          <w:kern w:val="0"/>
          <w:sz w:val="15"/>
          <w:szCs w:val="15"/>
        </w:rPr>
      </w:pPr>
      <w:r>
        <w:rPr>
          <w:rFonts w:hint="eastAsia" w:ascii="宋体"/>
          <w:color w:val="3D3D3D"/>
          <w:kern w:val="0"/>
          <w:sz w:val="15"/>
          <w:szCs w:val="15"/>
        </w:rPr>
        <w:t>管理人在本理财产品存续期间至少按周向投资者披露净值。</w:t>
      </w:r>
    </w:p>
    <w:p>
      <w:pPr>
        <w:widowControl/>
        <w:numPr>
          <w:ilvl w:val="0"/>
          <w:numId w:val="4"/>
        </w:numPr>
        <w:spacing w:line="200" w:lineRule="exact"/>
        <w:ind w:left="0" w:firstLine="300" w:firstLineChars="200"/>
        <w:rPr>
          <w:color w:val="3D3D3D"/>
          <w:kern w:val="0"/>
          <w:sz w:val="15"/>
          <w:szCs w:val="15"/>
        </w:rPr>
      </w:pPr>
      <w:r>
        <w:rPr>
          <w:rFonts w:hint="eastAsia" w:ascii="宋体"/>
          <w:color w:val="3D3D3D"/>
          <w:kern w:val="0"/>
          <w:sz w:val="15"/>
          <w:szCs w:val="15"/>
        </w:rPr>
        <w:t>产品发行公告</w:t>
      </w:r>
    </w:p>
    <w:p>
      <w:pPr>
        <w:widowControl/>
        <w:spacing w:line="200" w:lineRule="exact"/>
        <w:ind w:firstLine="300" w:firstLineChars="200"/>
        <w:rPr>
          <w:color w:val="3D3D3D"/>
          <w:kern w:val="0"/>
          <w:sz w:val="15"/>
          <w:szCs w:val="15"/>
        </w:rPr>
      </w:pPr>
      <w:r>
        <w:rPr>
          <w:rFonts w:hint="eastAsia" w:ascii="宋体"/>
          <w:color w:val="3D3D3D"/>
          <w:kern w:val="0"/>
          <w:sz w:val="15"/>
          <w:szCs w:val="15"/>
        </w:rPr>
        <w:t>管理人将在本理财产品成立后</w:t>
      </w:r>
      <w:r>
        <w:rPr>
          <w:color w:val="3D3D3D"/>
          <w:kern w:val="0"/>
          <w:sz w:val="15"/>
          <w:szCs w:val="15"/>
        </w:rPr>
        <w:t>5</w:t>
      </w:r>
      <w:r>
        <w:rPr>
          <w:rFonts w:hint="eastAsia" w:ascii="宋体"/>
          <w:color w:val="3D3D3D"/>
          <w:kern w:val="0"/>
          <w:sz w:val="15"/>
          <w:szCs w:val="15"/>
        </w:rPr>
        <w:t>个工作日内披露产品发行公告。</w:t>
      </w:r>
    </w:p>
    <w:p>
      <w:pPr>
        <w:widowControl/>
        <w:numPr>
          <w:ilvl w:val="0"/>
          <w:numId w:val="4"/>
        </w:numPr>
        <w:spacing w:line="200" w:lineRule="exact"/>
        <w:ind w:left="0" w:firstLine="300" w:firstLineChars="200"/>
        <w:rPr>
          <w:color w:val="3D3D3D"/>
          <w:kern w:val="0"/>
          <w:sz w:val="15"/>
          <w:szCs w:val="15"/>
        </w:rPr>
      </w:pPr>
      <w:r>
        <w:rPr>
          <w:rFonts w:hint="eastAsia" w:ascii="宋体"/>
          <w:color w:val="3D3D3D"/>
          <w:kern w:val="0"/>
          <w:sz w:val="15"/>
          <w:szCs w:val="15"/>
        </w:rPr>
        <w:t>定期报告</w:t>
      </w:r>
    </w:p>
    <w:p>
      <w:pPr>
        <w:widowControl/>
        <w:spacing w:line="200" w:lineRule="exact"/>
        <w:ind w:firstLine="300" w:firstLineChars="200"/>
        <w:rPr>
          <w:color w:val="3D3D3D"/>
          <w:kern w:val="0"/>
          <w:sz w:val="15"/>
          <w:szCs w:val="15"/>
        </w:rPr>
      </w:pPr>
      <w:r>
        <w:rPr>
          <w:rFonts w:hint="eastAsia" w:ascii="宋体"/>
          <w:color w:val="3D3D3D"/>
          <w:kern w:val="0"/>
          <w:sz w:val="15"/>
          <w:szCs w:val="15"/>
        </w:rPr>
        <w:t>管理人将在每个季度结束之日起</w:t>
      </w:r>
      <w:r>
        <w:rPr>
          <w:color w:val="3D3D3D"/>
          <w:kern w:val="0"/>
          <w:sz w:val="15"/>
          <w:szCs w:val="15"/>
        </w:rPr>
        <w:t>15</w:t>
      </w:r>
      <w:r>
        <w:rPr>
          <w:rFonts w:hint="eastAsia" w:ascii="宋体"/>
          <w:color w:val="3D3D3D"/>
          <w:kern w:val="0"/>
          <w:sz w:val="15"/>
          <w:szCs w:val="15"/>
        </w:rPr>
        <w:t>个工作日内、上半年结束之日起</w:t>
      </w:r>
      <w:r>
        <w:rPr>
          <w:color w:val="3D3D3D"/>
          <w:kern w:val="0"/>
          <w:sz w:val="15"/>
          <w:szCs w:val="15"/>
        </w:rPr>
        <w:t>60</w:t>
      </w:r>
      <w:r>
        <w:rPr>
          <w:rFonts w:hint="eastAsia" w:ascii="宋体"/>
          <w:color w:val="3D3D3D"/>
          <w:kern w:val="0"/>
          <w:sz w:val="15"/>
          <w:szCs w:val="15"/>
        </w:rPr>
        <w:t>个工作日内、每年结束之日起</w:t>
      </w:r>
      <w:r>
        <w:rPr>
          <w:color w:val="3D3D3D"/>
          <w:kern w:val="0"/>
          <w:sz w:val="15"/>
          <w:szCs w:val="15"/>
        </w:rPr>
        <w:t>90</w:t>
      </w:r>
      <w:r>
        <w:rPr>
          <w:rFonts w:hint="eastAsia" w:ascii="宋体"/>
          <w:color w:val="3D3D3D"/>
          <w:kern w:val="0"/>
          <w:sz w:val="15"/>
          <w:szCs w:val="15"/>
        </w:rPr>
        <w:t>个工作日内披露本理财产品的季度、半年和年度报告，如果本理财产品成立不足</w:t>
      </w:r>
      <w:r>
        <w:rPr>
          <w:color w:val="3D3D3D"/>
          <w:kern w:val="0"/>
          <w:sz w:val="15"/>
          <w:szCs w:val="15"/>
        </w:rPr>
        <w:t>90</w:t>
      </w:r>
      <w:r>
        <w:rPr>
          <w:rFonts w:hint="eastAsia" w:ascii="宋体"/>
          <w:color w:val="3D3D3D"/>
          <w:kern w:val="0"/>
          <w:sz w:val="15"/>
          <w:szCs w:val="15"/>
        </w:rPr>
        <w:t>个工作日或者剩余存续期不超过</w:t>
      </w:r>
      <w:r>
        <w:rPr>
          <w:color w:val="3D3D3D"/>
          <w:kern w:val="0"/>
          <w:sz w:val="15"/>
          <w:szCs w:val="15"/>
        </w:rPr>
        <w:t>90</w:t>
      </w:r>
      <w:r>
        <w:rPr>
          <w:rFonts w:hint="eastAsia" w:ascii="宋体"/>
          <w:color w:val="3D3D3D"/>
          <w:kern w:val="0"/>
          <w:sz w:val="15"/>
          <w:szCs w:val="15"/>
        </w:rPr>
        <w:t>个工作日的，管理人可以不编制产品当期的季度、半年和年度报告。</w:t>
      </w:r>
    </w:p>
    <w:p>
      <w:pPr>
        <w:widowControl/>
        <w:numPr>
          <w:ilvl w:val="0"/>
          <w:numId w:val="4"/>
        </w:numPr>
        <w:spacing w:line="200" w:lineRule="exact"/>
        <w:ind w:left="0" w:firstLine="300" w:firstLineChars="200"/>
        <w:rPr>
          <w:color w:val="3D3D3D"/>
          <w:kern w:val="0"/>
          <w:sz w:val="15"/>
          <w:szCs w:val="15"/>
        </w:rPr>
      </w:pPr>
      <w:r>
        <w:rPr>
          <w:rFonts w:hint="eastAsia" w:ascii="宋体"/>
          <w:color w:val="3D3D3D"/>
          <w:kern w:val="0"/>
          <w:sz w:val="15"/>
          <w:szCs w:val="15"/>
        </w:rPr>
        <w:t>到期公告</w:t>
      </w:r>
    </w:p>
    <w:p>
      <w:pPr>
        <w:widowControl/>
        <w:spacing w:line="200" w:lineRule="exact"/>
        <w:ind w:firstLine="300" w:firstLineChars="200"/>
        <w:rPr>
          <w:color w:val="3D3D3D"/>
          <w:kern w:val="0"/>
          <w:sz w:val="15"/>
          <w:szCs w:val="15"/>
        </w:rPr>
      </w:pPr>
      <w:r>
        <w:rPr>
          <w:rFonts w:hint="eastAsia" w:ascii="宋体"/>
          <w:color w:val="3D3D3D"/>
          <w:kern w:val="0"/>
          <w:sz w:val="15"/>
          <w:szCs w:val="15"/>
        </w:rPr>
        <w:t>管理人将在本理财产品终止后</w:t>
      </w:r>
      <w:r>
        <w:rPr>
          <w:color w:val="3D3D3D"/>
          <w:kern w:val="0"/>
          <w:sz w:val="15"/>
          <w:szCs w:val="15"/>
        </w:rPr>
        <w:t>5</w:t>
      </w:r>
      <w:r>
        <w:rPr>
          <w:rFonts w:hint="eastAsia" w:ascii="宋体"/>
          <w:color w:val="3D3D3D"/>
          <w:kern w:val="0"/>
          <w:sz w:val="15"/>
          <w:szCs w:val="15"/>
        </w:rPr>
        <w:t>个工作日内披露产品到期公告。</w:t>
      </w:r>
    </w:p>
    <w:p>
      <w:pPr>
        <w:widowControl/>
        <w:numPr>
          <w:ilvl w:val="0"/>
          <w:numId w:val="4"/>
        </w:numPr>
        <w:spacing w:line="200" w:lineRule="exact"/>
        <w:ind w:left="0" w:firstLine="300" w:firstLineChars="200"/>
        <w:rPr>
          <w:color w:val="3D3D3D"/>
          <w:kern w:val="0"/>
          <w:sz w:val="15"/>
          <w:szCs w:val="15"/>
        </w:rPr>
      </w:pPr>
      <w:r>
        <w:rPr>
          <w:rFonts w:hint="eastAsia" w:ascii="宋体"/>
          <w:color w:val="3D3D3D"/>
          <w:kern w:val="0"/>
          <w:sz w:val="15"/>
          <w:szCs w:val="15"/>
        </w:rPr>
        <w:t>重大事项公告</w:t>
      </w:r>
    </w:p>
    <w:p>
      <w:pPr>
        <w:widowControl/>
        <w:spacing w:line="200" w:lineRule="exact"/>
        <w:ind w:firstLine="300" w:firstLineChars="200"/>
        <w:rPr>
          <w:color w:val="3D3D3D"/>
          <w:kern w:val="0"/>
          <w:sz w:val="15"/>
          <w:szCs w:val="15"/>
        </w:rPr>
      </w:pPr>
      <w:r>
        <w:rPr>
          <w:rFonts w:hint="eastAsia" w:ascii="宋体"/>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ascii="宋体"/>
          <w:color w:val="3D3D3D"/>
          <w:kern w:val="0"/>
          <w:sz w:val="15"/>
          <w:szCs w:val="15"/>
        </w:rPr>
        <w:t>个工作日内披露重大事项公告。</w:t>
      </w:r>
    </w:p>
    <w:p>
      <w:pPr>
        <w:widowControl/>
        <w:numPr>
          <w:ilvl w:val="0"/>
          <w:numId w:val="4"/>
        </w:numPr>
        <w:spacing w:line="200" w:lineRule="exact"/>
        <w:ind w:left="0" w:firstLine="300" w:firstLineChars="200"/>
        <w:rPr>
          <w:color w:val="3D3D3D"/>
          <w:kern w:val="0"/>
          <w:sz w:val="15"/>
          <w:szCs w:val="15"/>
        </w:rPr>
      </w:pPr>
      <w:r>
        <w:rPr>
          <w:rFonts w:hint="eastAsia" w:ascii="宋体"/>
          <w:color w:val="3D3D3D"/>
          <w:kern w:val="0"/>
          <w:sz w:val="15"/>
          <w:szCs w:val="15"/>
        </w:rPr>
        <w:t>临时公告</w:t>
      </w:r>
    </w:p>
    <w:p>
      <w:pPr>
        <w:widowControl/>
        <w:spacing w:line="200" w:lineRule="exact"/>
        <w:ind w:firstLine="300"/>
        <w:rPr>
          <w:color w:val="3D3D3D"/>
          <w:kern w:val="0"/>
          <w:sz w:val="15"/>
          <w:szCs w:val="15"/>
        </w:rPr>
      </w:pPr>
      <w:r>
        <w:rPr>
          <w:rFonts w:hint="eastAsia" w:ascii="宋体"/>
          <w:color w:val="3D3D3D"/>
          <w:kern w:val="0"/>
          <w:sz w:val="15"/>
          <w:szCs w:val="15"/>
        </w:rPr>
        <w:t>理财产品在运作管理过程中，发生可能对理财产品持有人权益产生影响的事项时，管理人将根据法律法规规定及时进行临时信息披露。</w:t>
      </w:r>
    </w:p>
    <w:p>
      <w:pPr>
        <w:widowControl/>
        <w:numPr>
          <w:ilvl w:val="0"/>
          <w:numId w:val="4"/>
        </w:numPr>
        <w:spacing w:line="200" w:lineRule="exact"/>
        <w:ind w:left="0" w:firstLine="300" w:firstLineChars="200"/>
        <w:rPr>
          <w:color w:val="3D3D3D"/>
          <w:kern w:val="0"/>
          <w:sz w:val="15"/>
          <w:szCs w:val="15"/>
        </w:rPr>
      </w:pPr>
      <w:r>
        <w:rPr>
          <w:rFonts w:hint="eastAsia" w:ascii="宋体"/>
          <w:color w:val="3D3D3D"/>
          <w:kern w:val="0"/>
          <w:sz w:val="15"/>
          <w:szCs w:val="15"/>
        </w:rPr>
        <w:t>关联交易信息披露</w:t>
      </w:r>
    </w:p>
    <w:p>
      <w:pPr>
        <w:widowControl/>
        <w:spacing w:line="200" w:lineRule="exact"/>
        <w:ind w:firstLine="300" w:firstLineChars="200"/>
        <w:rPr>
          <w:color w:val="3D3D3D"/>
          <w:kern w:val="0"/>
          <w:sz w:val="15"/>
          <w:szCs w:val="15"/>
        </w:rPr>
      </w:pPr>
      <w:r>
        <w:rPr>
          <w:rFonts w:hint="eastAsia" w:ascii="宋体"/>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pPr>
        <w:widowControl/>
        <w:numPr>
          <w:ilvl w:val="0"/>
          <w:numId w:val="4"/>
        </w:numPr>
        <w:spacing w:line="200" w:lineRule="exact"/>
        <w:ind w:left="0" w:firstLine="300" w:firstLineChars="200"/>
        <w:rPr>
          <w:color w:val="3D3D3D"/>
          <w:kern w:val="0"/>
          <w:sz w:val="15"/>
          <w:szCs w:val="15"/>
        </w:rPr>
      </w:pPr>
      <w:r>
        <w:rPr>
          <w:rFonts w:hint="eastAsia" w:ascii="宋体"/>
          <w:color w:val="3D3D3D"/>
          <w:kern w:val="0"/>
          <w:sz w:val="15"/>
          <w:szCs w:val="15"/>
        </w:rPr>
        <w:t>账单</w:t>
      </w:r>
    </w:p>
    <w:p>
      <w:pPr>
        <w:widowControl/>
        <w:spacing w:line="200" w:lineRule="exact"/>
        <w:ind w:firstLine="300"/>
        <w:rPr>
          <w:color w:val="3D3D3D"/>
          <w:kern w:val="0"/>
          <w:sz w:val="15"/>
          <w:szCs w:val="15"/>
        </w:rPr>
      </w:pPr>
      <w:r>
        <w:rPr>
          <w:rFonts w:hint="eastAsia" w:ascii="宋体"/>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pPr>
        <w:widowControl/>
        <w:numPr>
          <w:ilvl w:val="0"/>
          <w:numId w:val="4"/>
        </w:numPr>
        <w:spacing w:line="200" w:lineRule="exact"/>
        <w:ind w:left="0" w:firstLine="300" w:firstLineChars="200"/>
        <w:rPr>
          <w:b/>
          <w:bCs/>
          <w:color w:val="3D3D3D"/>
          <w:kern w:val="0"/>
          <w:sz w:val="15"/>
          <w:szCs w:val="15"/>
        </w:rPr>
      </w:pPr>
      <w:r>
        <w:rPr>
          <w:rFonts w:hint="eastAsia" w:ascii="宋体"/>
          <w:b/>
          <w:bCs/>
          <w:color w:val="3D3D3D"/>
          <w:kern w:val="0"/>
          <w:sz w:val="15"/>
          <w:szCs w:val="15"/>
        </w:rPr>
        <w:t>在本理财产品存续期内：</w:t>
      </w:r>
    </w:p>
    <w:p>
      <w:pPr>
        <w:widowControl/>
        <w:spacing w:line="200" w:lineRule="exact"/>
        <w:ind w:firstLine="300" w:firstLineChars="200"/>
        <w:rPr>
          <w:b/>
          <w:bCs/>
          <w:color w:val="3D3D3D"/>
          <w:kern w:val="0"/>
          <w:sz w:val="15"/>
          <w:szCs w:val="15"/>
        </w:rPr>
      </w:pPr>
      <w:r>
        <w:rPr>
          <w:rFonts w:hint="eastAsia" w:ascii="宋体"/>
          <w:b/>
          <w:bCs/>
          <w:color w:val="3D3D3D"/>
          <w:kern w:val="0"/>
          <w:sz w:val="15"/>
          <w:szCs w:val="15"/>
        </w:rPr>
        <w:t>（</w:t>
      </w:r>
      <w:r>
        <w:rPr>
          <w:b/>
          <w:bCs/>
          <w:color w:val="3D3D3D"/>
          <w:kern w:val="0"/>
          <w:sz w:val="15"/>
          <w:szCs w:val="15"/>
        </w:rPr>
        <w:t>1</w:t>
      </w:r>
      <w:r>
        <w:rPr>
          <w:rFonts w:hint="eastAsia" w:ascii="宋体"/>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widowControl/>
        <w:spacing w:line="200" w:lineRule="exact"/>
        <w:ind w:firstLine="300" w:firstLineChars="200"/>
        <w:rPr>
          <w:b/>
          <w:bCs/>
          <w:color w:val="3D3D3D"/>
          <w:kern w:val="0"/>
          <w:sz w:val="15"/>
          <w:szCs w:val="15"/>
        </w:rPr>
      </w:pPr>
      <w:r>
        <w:rPr>
          <w:rFonts w:hint="eastAsia" w:ascii="宋体"/>
          <w:b/>
          <w:bCs/>
          <w:color w:val="3D3D3D"/>
          <w:kern w:val="0"/>
          <w:sz w:val="15"/>
          <w:szCs w:val="15"/>
        </w:rPr>
        <w:t>（</w:t>
      </w:r>
      <w:r>
        <w:rPr>
          <w:b/>
          <w:bCs/>
          <w:color w:val="3D3D3D"/>
          <w:kern w:val="0"/>
          <w:sz w:val="15"/>
          <w:szCs w:val="15"/>
        </w:rPr>
        <w:t>2</w:t>
      </w:r>
      <w:r>
        <w:rPr>
          <w:rFonts w:hint="eastAsia" w:ascii="宋体"/>
          <w:b/>
          <w:bCs/>
          <w:color w:val="3D3D3D"/>
          <w:kern w:val="0"/>
          <w:sz w:val="15"/>
          <w:szCs w:val="15"/>
        </w:rPr>
        <w:t>）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widowControl/>
        <w:spacing w:line="200" w:lineRule="exact"/>
        <w:ind w:firstLine="300" w:firstLineChars="200"/>
        <w:rPr>
          <w:color w:val="3D3D3D"/>
          <w:kern w:val="0"/>
          <w:sz w:val="15"/>
          <w:szCs w:val="15"/>
        </w:rPr>
      </w:pPr>
      <w:r>
        <w:rPr>
          <w:rFonts w:hint="eastAsia" w:ascii="宋体"/>
          <w:color w:val="3D3D3D"/>
          <w:kern w:val="0"/>
          <w:sz w:val="15"/>
          <w:szCs w:val="15"/>
        </w:rPr>
        <w:t>10.其他公告</w:t>
      </w:r>
    </w:p>
    <w:p>
      <w:pPr>
        <w:widowControl/>
        <w:spacing w:line="200" w:lineRule="exact"/>
        <w:ind w:firstLine="300"/>
        <w:rPr>
          <w:color w:val="3D3D3D"/>
          <w:kern w:val="0"/>
          <w:sz w:val="15"/>
          <w:szCs w:val="15"/>
        </w:rPr>
      </w:pPr>
      <w:r>
        <w:rPr>
          <w:rFonts w:hint="eastAsia" w:ascii="宋体"/>
          <w:color w:val="3D3D3D"/>
          <w:kern w:val="0"/>
          <w:sz w:val="15"/>
          <w:szCs w:val="15"/>
        </w:rPr>
        <w:t>理财产品在运作管理过程中，管理人根据实际运作情况发布的其他公告。</w:t>
      </w:r>
    </w:p>
    <w:p>
      <w:pPr>
        <w:widowControl/>
        <w:spacing w:line="200" w:lineRule="exact"/>
        <w:ind w:firstLine="300" w:firstLineChars="200"/>
        <w:rPr>
          <w:b/>
          <w:bCs/>
          <w:kern w:val="0"/>
          <w:sz w:val="15"/>
          <w:szCs w:val="15"/>
        </w:rPr>
      </w:pPr>
      <w:r>
        <w:rPr>
          <w:rFonts w:hint="eastAsia" w:ascii="宋体"/>
          <w:b/>
          <w:bCs/>
          <w:kern w:val="0"/>
          <w:sz w:val="15"/>
          <w:szCs w:val="15"/>
        </w:rPr>
        <w:t>第六条</w:t>
      </w:r>
      <w:r>
        <w:rPr>
          <w:rFonts w:hint="eastAsia"/>
          <w:b/>
          <w:bCs/>
          <w:kern w:val="0"/>
          <w:sz w:val="15"/>
          <w:szCs w:val="15"/>
        </w:rPr>
        <w:t xml:space="preserve">  </w:t>
      </w:r>
      <w:r>
        <w:rPr>
          <w:rFonts w:hint="eastAsia" w:ascii="宋体"/>
          <w:b/>
          <w:bCs/>
          <w:kern w:val="0"/>
          <w:sz w:val="15"/>
          <w:szCs w:val="15"/>
        </w:rPr>
        <w:t>投资者保护提示</w:t>
      </w:r>
    </w:p>
    <w:p>
      <w:pPr>
        <w:widowControl/>
        <w:spacing w:line="200" w:lineRule="exact"/>
        <w:ind w:firstLine="300"/>
        <w:rPr>
          <w:color w:val="3D3D3D"/>
          <w:kern w:val="0"/>
          <w:sz w:val="15"/>
          <w:szCs w:val="15"/>
        </w:rPr>
      </w:pPr>
      <w:r>
        <w:rPr>
          <w:rFonts w:hint="eastAsia" w:ascii="宋体"/>
          <w:color w:val="3D3D3D"/>
          <w:kern w:val="0"/>
          <w:sz w:val="15"/>
          <w:szCs w:val="15"/>
        </w:rPr>
        <w:t>您如对销售机构产品推介和销售等服务有任何意见或建议，您可通过拨打销售机构客服电话进行咨询及反馈。</w:t>
      </w:r>
    </w:p>
    <w:p>
      <w:pPr>
        <w:widowControl/>
        <w:spacing w:line="200" w:lineRule="exact"/>
        <w:ind w:firstLine="300"/>
        <w:rPr>
          <w:color w:val="3D3D3D"/>
          <w:kern w:val="0"/>
          <w:sz w:val="15"/>
          <w:szCs w:val="15"/>
        </w:rPr>
      </w:pPr>
      <w:r>
        <w:rPr>
          <w:rFonts w:hint="eastAsia" w:ascii="宋体"/>
          <w:color w:val="3D3D3D"/>
          <w:kern w:val="0"/>
          <w:sz w:val="15"/>
          <w:szCs w:val="15"/>
        </w:rPr>
        <w:t>您如对理财产品设计、投资管理等事项有任何意见或建议，您可通过拨打管理人客服电话进行咨询及反馈。</w:t>
      </w:r>
    </w:p>
    <w:p>
      <w:pPr>
        <w:widowControl/>
        <w:spacing w:line="200" w:lineRule="exact"/>
        <w:ind w:firstLine="300"/>
        <w:rPr>
          <w:color w:val="3D3D3D"/>
          <w:kern w:val="0"/>
          <w:sz w:val="15"/>
          <w:szCs w:val="15"/>
        </w:rPr>
      </w:pPr>
      <w:r>
        <w:rPr>
          <w:rFonts w:hint="eastAsia" w:ascii="宋体"/>
          <w:color w:val="3D3D3D"/>
          <w:kern w:val="0"/>
          <w:sz w:val="15"/>
          <w:szCs w:val="15"/>
        </w:rPr>
        <w:t>销售机构及管理人的联系方式详见《投资者权益须知》第八条。</w:t>
      </w:r>
    </w:p>
    <w:p>
      <w:pPr>
        <w:widowControl/>
        <w:spacing w:line="200" w:lineRule="exact"/>
        <w:ind w:firstLine="300" w:firstLineChars="200"/>
        <w:rPr>
          <w:b/>
          <w:bCs/>
          <w:kern w:val="0"/>
          <w:sz w:val="15"/>
          <w:szCs w:val="15"/>
        </w:rPr>
      </w:pPr>
      <w:r>
        <w:rPr>
          <w:rFonts w:hint="eastAsia" w:ascii="宋体"/>
          <w:b/>
          <w:bCs/>
          <w:kern w:val="0"/>
          <w:sz w:val="15"/>
          <w:szCs w:val="15"/>
        </w:rPr>
        <w:t>第七条</w:t>
      </w:r>
      <w:r>
        <w:rPr>
          <w:rFonts w:hint="eastAsia"/>
          <w:b/>
          <w:bCs/>
          <w:kern w:val="0"/>
          <w:sz w:val="15"/>
          <w:szCs w:val="15"/>
        </w:rPr>
        <w:t xml:space="preserve">  </w:t>
      </w:r>
      <w:r>
        <w:rPr>
          <w:rFonts w:hint="eastAsia" w:ascii="宋体"/>
          <w:b/>
          <w:bCs/>
          <w:kern w:val="0"/>
          <w:sz w:val="15"/>
          <w:szCs w:val="15"/>
        </w:rPr>
        <w:t>法律适用和争议解决</w:t>
      </w:r>
    </w:p>
    <w:p>
      <w:pPr>
        <w:widowControl/>
        <w:spacing w:line="200" w:lineRule="exact"/>
        <w:ind w:firstLine="300"/>
        <w:rPr>
          <w:color w:val="3D3D3D"/>
          <w:kern w:val="0"/>
          <w:sz w:val="15"/>
          <w:szCs w:val="15"/>
        </w:rPr>
      </w:pPr>
      <w:r>
        <w:rPr>
          <w:rFonts w:hint="eastAsia" w:ascii="宋体"/>
          <w:color w:val="3D3D3D"/>
          <w:kern w:val="0"/>
          <w:sz w:val="15"/>
          <w:szCs w:val="15"/>
        </w:rPr>
        <w:t>理财产品销售文件的订立、生效、履行、解释、修改和终止等事项的适用法律和争议解决方式按照销售协议书的相关约定执行。</w:t>
      </w:r>
    </w:p>
    <w:p>
      <w:pPr>
        <w:widowControl/>
        <w:spacing w:line="200" w:lineRule="exact"/>
        <w:ind w:firstLine="300" w:firstLineChars="200"/>
        <w:rPr>
          <w:b/>
          <w:bCs/>
          <w:kern w:val="0"/>
          <w:sz w:val="15"/>
          <w:szCs w:val="15"/>
        </w:rPr>
      </w:pPr>
      <w:r>
        <w:rPr>
          <w:rFonts w:hint="eastAsia" w:ascii="宋体"/>
          <w:b/>
          <w:bCs/>
          <w:kern w:val="0"/>
          <w:sz w:val="15"/>
          <w:szCs w:val="15"/>
        </w:rPr>
        <w:t>第八条</w:t>
      </w:r>
      <w:r>
        <w:rPr>
          <w:rFonts w:hint="eastAsia"/>
          <w:b/>
          <w:bCs/>
          <w:kern w:val="0"/>
          <w:sz w:val="15"/>
          <w:szCs w:val="15"/>
        </w:rPr>
        <w:t xml:space="preserve">  </w:t>
      </w:r>
      <w:r>
        <w:rPr>
          <w:rFonts w:hint="eastAsia" w:ascii="宋体"/>
          <w:b/>
          <w:bCs/>
          <w:kern w:val="0"/>
          <w:sz w:val="15"/>
          <w:szCs w:val="15"/>
        </w:rPr>
        <w:t>重要提示</w:t>
      </w:r>
    </w:p>
    <w:p>
      <w:pPr>
        <w:widowControl/>
        <w:spacing w:line="200" w:lineRule="exact"/>
        <w:ind w:firstLine="300" w:firstLineChars="200"/>
        <w:rPr>
          <w:b/>
          <w:bCs/>
          <w:kern w:val="0"/>
          <w:sz w:val="15"/>
          <w:szCs w:val="15"/>
        </w:rPr>
      </w:pPr>
      <w:r>
        <w:rPr>
          <w:rFonts w:hint="eastAsia" w:ascii="宋体"/>
          <w:b/>
          <w:bCs/>
          <w:kern w:val="0"/>
          <w:sz w:val="15"/>
          <w:szCs w:val="15"/>
        </w:rPr>
        <w:t>请您一定仔细阅读本理财产品销售文件，了解理财产品具体情况，关注投资风险，自主决定是否投资。</w:t>
      </w:r>
    </w:p>
    <w:p>
      <w:pPr>
        <w:widowControl/>
        <w:spacing w:line="200" w:lineRule="exact"/>
        <w:ind w:firstLine="300" w:firstLineChars="200"/>
        <w:rPr>
          <w:b/>
          <w:bCs/>
          <w:kern w:val="0"/>
          <w:sz w:val="15"/>
          <w:szCs w:val="15"/>
        </w:rPr>
      </w:pPr>
      <w:r>
        <w:rPr>
          <w:rFonts w:hint="eastAsia" w:ascii="宋体"/>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pPr>
        <w:widowControl/>
        <w:spacing w:line="200" w:lineRule="exact"/>
        <w:ind w:firstLine="300" w:firstLineChars="200"/>
        <w:rPr>
          <w:b/>
          <w:bCs/>
          <w:kern w:val="0"/>
          <w:sz w:val="15"/>
          <w:szCs w:val="15"/>
        </w:rPr>
      </w:pPr>
      <w:r>
        <w:rPr>
          <w:rFonts w:hint="eastAsia" w:ascii="宋体"/>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pPr>
        <w:widowControl/>
        <w:rPr>
          <w:b/>
          <w:bCs/>
          <w:color w:val="3D3D3D"/>
          <w:kern w:val="0"/>
          <w:sz w:val="15"/>
          <w:szCs w:val="15"/>
        </w:rPr>
      </w:pPr>
    </w:p>
    <w:p>
      <w:pPr>
        <w:widowControl/>
        <w:rPr>
          <w:b/>
          <w:bCs/>
          <w:color w:val="3D3D3D"/>
          <w:kern w:val="0"/>
          <w:sz w:val="15"/>
          <w:szCs w:val="15"/>
        </w:rPr>
      </w:pPr>
      <w:r>
        <w:rPr>
          <w:rFonts w:hint="eastAsia" w:ascii="宋体"/>
          <w:b/>
          <w:bCs/>
          <w:color w:val="3D3D3D"/>
          <w:kern w:val="0"/>
          <w:sz w:val="15"/>
          <w:szCs w:val="15"/>
        </w:rPr>
        <w:t>风险提示：</w:t>
      </w:r>
    </w:p>
    <w:p>
      <w:pPr>
        <w:tabs>
          <w:tab w:val="left" w:pos="8033"/>
        </w:tabs>
        <w:jc w:val="left"/>
        <w:rPr>
          <w:rFonts w:hint="eastAsia" w:ascii="宋体"/>
          <w:b/>
          <w:bCs/>
          <w:color w:val="3D3D3D"/>
          <w:kern w:val="0"/>
          <w:sz w:val="15"/>
          <w:szCs w:val="15"/>
        </w:rPr>
      </w:pPr>
      <w:r>
        <w:rPr>
          <w:rFonts w:hint="eastAsia" w:ascii="宋体"/>
          <w:b/>
          <w:bCs/>
          <w:color w:val="3D3D3D"/>
          <w:kern w:val="0"/>
          <w:sz w:val="15"/>
          <w:szCs w:val="15"/>
        </w:rPr>
        <w:t>本理财产品是</w:t>
      </w:r>
      <w:r>
        <w:rPr>
          <w:rFonts w:hint="eastAsia" w:ascii="宋体" w:cs="宋体"/>
          <w:b/>
          <w:bCs/>
          <w:i/>
          <w:iCs/>
          <w:kern w:val="0"/>
          <w:sz w:val="20"/>
          <w:u w:val="single"/>
        </w:rPr>
        <w:t>封闭式、固定收益类、公募、净值型</w:t>
      </w:r>
      <w:r>
        <w:rPr>
          <w:rFonts w:hint="eastAsia" w:ascii="宋体"/>
          <w:b/>
          <w:bCs/>
          <w:color w:val="3D3D3D"/>
          <w:kern w:val="0"/>
          <w:sz w:val="15"/>
          <w:szCs w:val="15"/>
        </w:rPr>
        <w:t>理财产品，</w:t>
      </w:r>
      <w:r>
        <w:rPr>
          <w:rFonts w:hint="eastAsia" w:ascii="宋体"/>
          <w:b/>
          <w:bCs/>
          <w:i/>
          <w:iCs/>
          <w:color w:val="3D3D3D"/>
          <w:kern w:val="0"/>
          <w:sz w:val="21"/>
          <w:szCs w:val="21"/>
          <w:u w:val="single"/>
        </w:rPr>
        <w:t>不保证本金和收益</w:t>
      </w:r>
      <w:r>
        <w:rPr>
          <w:rFonts w:hint="eastAsia" w:ascii="宋体"/>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pPr>
        <w:jc w:val="left"/>
        <w:rPr>
          <w:rFonts w:hint="eastAsia" w:ascii="宋体"/>
          <w:b/>
          <w:bCs/>
          <w:color w:val="3D3D3D"/>
          <w:kern w:val="0"/>
          <w:sz w:val="15"/>
          <w:szCs w:val="15"/>
        </w:rPr>
      </w:pPr>
      <w:r>
        <w:rPr>
          <w:rFonts w:hint="eastAsia" w:ascii="宋体"/>
          <w:b/>
          <w:bCs/>
          <w:color w:val="3D3D3D"/>
          <w:kern w:val="0"/>
          <w:sz w:val="15"/>
          <w:szCs w:val="15"/>
        </w:rPr>
        <w:br w:type="page"/>
      </w:r>
    </w:p>
    <w:p>
      <w:pPr>
        <w:jc w:val="center"/>
        <w:rPr>
          <w:rFonts w:eastAsia="黑体"/>
          <w:b/>
          <w:bCs/>
          <w:sz w:val="36"/>
          <w:szCs w:val="20"/>
        </w:rPr>
      </w:pPr>
      <w:r>
        <w:rPr>
          <w:rFonts w:eastAsia="黑体"/>
          <w:b/>
          <w:bCs/>
          <w:sz w:val="36"/>
          <w:szCs w:val="20"/>
        </w:rPr>
        <w:t>理财产品销售协议书</w:t>
      </w:r>
    </w:p>
    <w:p>
      <w:pPr>
        <w:tabs>
          <w:tab w:val="left" w:pos="0"/>
        </w:tabs>
        <w:jc w:val="center"/>
        <w:rPr>
          <w:sz w:val="22"/>
          <w:szCs w:val="28"/>
        </w:rPr>
      </w:pPr>
    </w:p>
    <w:p>
      <w:pPr>
        <w:tabs>
          <w:tab w:val="left" w:pos="0"/>
        </w:tabs>
        <w:jc w:val="center"/>
        <w:rPr>
          <w:sz w:val="22"/>
          <w:szCs w:val="28"/>
        </w:rPr>
      </w:pPr>
    </w:p>
    <w:p>
      <w:pPr>
        <w:tabs>
          <w:tab w:val="left" w:pos="0"/>
        </w:tabs>
        <w:jc w:val="center"/>
        <w:rPr>
          <w:sz w:val="22"/>
          <w:szCs w:val="28"/>
        </w:rPr>
      </w:pPr>
    </w:p>
    <w:p>
      <w:pPr>
        <w:tabs>
          <w:tab w:val="left" w:pos="0"/>
        </w:tabs>
        <w:jc w:val="center"/>
        <w:rPr>
          <w:sz w:val="22"/>
          <w:szCs w:val="28"/>
        </w:rPr>
      </w:pPr>
    </w:p>
    <w:p>
      <w:pPr>
        <w:tabs>
          <w:tab w:val="left" w:pos="0"/>
        </w:tabs>
        <w:jc w:val="center"/>
        <w:rPr>
          <w:sz w:val="22"/>
          <w:szCs w:val="28"/>
        </w:rPr>
      </w:pPr>
    </w:p>
    <w:p>
      <w:pPr>
        <w:tabs>
          <w:tab w:val="left" w:pos="0"/>
        </w:tabs>
        <w:jc w:val="center"/>
        <w:rPr>
          <w:sz w:val="22"/>
          <w:szCs w:val="28"/>
        </w:rPr>
      </w:pPr>
    </w:p>
    <w:p>
      <w:pPr>
        <w:tabs>
          <w:tab w:val="left" w:pos="0"/>
        </w:tabs>
        <w:jc w:val="center"/>
        <w:rPr>
          <w:sz w:val="22"/>
          <w:szCs w:val="28"/>
        </w:rPr>
      </w:pPr>
    </w:p>
    <w:p>
      <w:pPr>
        <w:tabs>
          <w:tab w:val="left" w:pos="0"/>
        </w:tabs>
        <w:jc w:val="center"/>
        <w:rPr>
          <w:sz w:val="22"/>
          <w:szCs w:val="28"/>
        </w:rPr>
      </w:pPr>
    </w:p>
    <w:p>
      <w:pPr>
        <w:tabs>
          <w:tab w:val="left" w:pos="0"/>
        </w:tabs>
        <w:jc w:val="center"/>
        <w:rPr>
          <w:sz w:val="22"/>
          <w:szCs w:val="28"/>
        </w:rPr>
      </w:pPr>
      <w:r>
        <w:rPr>
          <w:sz w:val="22"/>
          <w:szCs w:val="28"/>
        </w:rPr>
        <w:t>编制单位：</w:t>
      </w:r>
      <w:r>
        <w:rPr>
          <w:sz w:val="22"/>
          <w:szCs w:val="28"/>
          <w:u w:val="single"/>
        </w:rPr>
        <w:t>南银理财有限责任公司</w:t>
      </w:r>
    </w:p>
    <w:p>
      <w:pPr>
        <w:ind w:firstLine="3960" w:firstLineChars="1800"/>
        <w:rPr>
          <w:rFonts w:eastAsia="黑体"/>
          <w:b/>
          <w:bCs/>
          <w:sz w:val="36"/>
          <w:szCs w:val="20"/>
        </w:rPr>
      </w:pPr>
      <w:r>
        <w:rPr>
          <w:sz w:val="22"/>
          <w:szCs w:val="28"/>
        </w:rPr>
        <w:t>版次号：</w:t>
      </w:r>
      <w:r>
        <w:rPr>
          <w:rFonts w:hint="eastAsia"/>
          <w:sz w:val="22"/>
          <w:szCs w:val="28"/>
          <w:u w:val="single"/>
        </w:rPr>
        <w:t>2021第2</w:t>
      </w:r>
      <w:r>
        <w:rPr>
          <w:sz w:val="22"/>
          <w:szCs w:val="28"/>
          <w:u w:val="single"/>
        </w:rPr>
        <w:t>版</w:t>
      </w:r>
      <w:r>
        <w:rPr>
          <w:sz w:val="22"/>
          <w:szCs w:val="28"/>
        </w:rPr>
        <w:br w:type="page"/>
      </w:r>
    </w:p>
    <w:p>
      <w:pPr>
        <w:adjustRightInd w:val="0"/>
        <w:snapToGrid w:val="0"/>
        <w:rPr>
          <w:b/>
          <w:bCs/>
          <w:sz w:val="22"/>
          <w:szCs w:val="28"/>
        </w:rPr>
      </w:pPr>
      <w:bookmarkStart w:id="0" w:name="_Toc310773099"/>
      <w:bookmarkEnd w:id="0"/>
      <w:bookmarkStart w:id="1" w:name="_Toc310243213"/>
      <w:bookmarkEnd w:id="1"/>
      <w:bookmarkStart w:id="2" w:name="_Toc310770512"/>
      <w:bookmarkEnd w:id="2"/>
      <w:bookmarkStart w:id="3" w:name="_Toc310773098"/>
      <w:bookmarkEnd w:id="3"/>
      <w:bookmarkStart w:id="4" w:name="_Toc310770283"/>
      <w:bookmarkEnd w:id="4"/>
      <w:bookmarkStart w:id="5" w:name="_Toc310770285"/>
      <w:bookmarkEnd w:id="5"/>
      <w:bookmarkStart w:id="6" w:name="_Toc310770287"/>
      <w:bookmarkEnd w:id="6"/>
      <w:bookmarkStart w:id="7" w:name="_Toc310836822"/>
      <w:bookmarkEnd w:id="7"/>
      <w:bookmarkStart w:id="8" w:name="_Toc310243214"/>
      <w:bookmarkEnd w:id="8"/>
      <w:bookmarkStart w:id="9" w:name="_Toc310770513"/>
      <w:bookmarkEnd w:id="9"/>
      <w:bookmarkStart w:id="10" w:name="_Toc310770511"/>
      <w:bookmarkEnd w:id="10"/>
      <w:bookmarkStart w:id="11" w:name="_Toc310836823"/>
      <w:bookmarkEnd w:id="11"/>
      <w:bookmarkStart w:id="12" w:name="_Toc310770284"/>
      <w:bookmarkEnd w:id="12"/>
      <w:bookmarkStart w:id="13" w:name="_Toc310243215"/>
      <w:bookmarkEnd w:id="13"/>
      <w:bookmarkStart w:id="14" w:name="_Toc310773100"/>
      <w:bookmarkEnd w:id="14"/>
      <w:bookmarkStart w:id="15" w:name="_Toc310836824"/>
      <w:bookmarkEnd w:id="15"/>
      <w:r>
        <w:rPr>
          <w:b/>
          <w:bCs/>
          <w:sz w:val="22"/>
          <w:szCs w:val="28"/>
        </w:rPr>
        <w:t>风险提示：</w:t>
      </w:r>
    </w:p>
    <w:p>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pPr>
        <w:tabs>
          <w:tab w:val="left" w:pos="7920"/>
          <w:tab w:val="left" w:pos="8100"/>
        </w:tabs>
        <w:rPr>
          <w:b/>
          <w:bCs/>
          <w:sz w:val="22"/>
          <w:szCs w:val="22"/>
        </w:rPr>
      </w:pPr>
    </w:p>
    <w:p>
      <w:pPr>
        <w:jc w:val="center"/>
        <w:rPr>
          <w:rFonts w:eastAsia="黑体"/>
          <w:b/>
          <w:bCs/>
          <w:sz w:val="36"/>
          <w:szCs w:val="20"/>
        </w:rPr>
      </w:pPr>
    </w:p>
    <w:p>
      <w:pPr>
        <w:jc w:val="center"/>
        <w:rPr>
          <w:rFonts w:eastAsia="黑体"/>
          <w:b/>
          <w:bCs/>
          <w:sz w:val="36"/>
          <w:szCs w:val="20"/>
        </w:rPr>
      </w:pPr>
      <w:r>
        <w:rPr>
          <w:rFonts w:eastAsia="黑体"/>
          <w:b/>
          <w:bCs/>
          <w:sz w:val="36"/>
          <w:szCs w:val="20"/>
        </w:rPr>
        <w:t>理财产品销售协议书</w:t>
      </w:r>
    </w:p>
    <w:p>
      <w:pPr>
        <w:ind w:firstLine="400" w:firstLineChars="200"/>
        <w:rPr>
          <w:rFonts w:eastAsia="方正细黑一简体"/>
          <w:sz w:val="20"/>
          <w:szCs w:val="20"/>
        </w:rPr>
      </w:pPr>
    </w:p>
    <w:p>
      <w:pPr>
        <w:ind w:firstLine="400" w:firstLineChars="200"/>
        <w:rPr>
          <w:rFonts w:eastAsia="方正细黑一简体"/>
          <w:sz w:val="20"/>
          <w:szCs w:val="20"/>
        </w:rPr>
      </w:pPr>
      <w:r>
        <w:rPr>
          <w:rFonts w:eastAsia="方正细黑一简体"/>
          <w:sz w:val="20"/>
          <w:szCs w:val="20"/>
        </w:rPr>
        <w:t>经甲方（南银理财有限责任公司，以下简称“南银理财”、“</w:t>
      </w:r>
      <w:r>
        <w:rPr>
          <w:rFonts w:eastAsia="方正细黑一简体"/>
          <w:color w:val="3D3D3D"/>
          <w:sz w:val="20"/>
          <w:szCs w:val="20"/>
        </w:rPr>
        <w:t>管理人”</w:t>
      </w:r>
      <w:r>
        <w:rPr>
          <w:rFonts w:hint="eastAsia" w:eastAsia="方正细黑一简体"/>
          <w:color w:val="3D3D3D"/>
          <w:sz w:val="20"/>
          <w:szCs w:val="20"/>
        </w:rPr>
        <w:t>、“产品管理人”</w:t>
      </w:r>
      <w:r>
        <w:rPr>
          <w:rFonts w:eastAsia="方正细黑一简体"/>
          <w:color w:val="3D3D3D"/>
          <w:sz w:val="20"/>
          <w:szCs w:val="20"/>
        </w:rPr>
        <w:t>或“理财产品管理人</w:t>
      </w:r>
      <w:r>
        <w:rPr>
          <w:rFonts w:eastAsia="方正细黑一简体"/>
          <w:sz w:val="20"/>
          <w:szCs w:val="20"/>
        </w:rPr>
        <w:t>”）与乙方（</w:t>
      </w:r>
      <w:r>
        <w:rPr>
          <w:rFonts w:hint="eastAsia" w:eastAsia="方正细黑一简体"/>
          <w:sz w:val="20"/>
          <w:szCs w:val="20"/>
        </w:rPr>
        <w:t>以下简称“</w:t>
      </w:r>
      <w:r>
        <w:rPr>
          <w:rFonts w:eastAsia="方正细黑一简体"/>
          <w:sz w:val="20"/>
          <w:szCs w:val="20"/>
        </w:rPr>
        <w:t>投资者</w:t>
      </w:r>
      <w:r>
        <w:rPr>
          <w:rFonts w:hint="eastAsia" w:eastAsia="方正细黑一简体"/>
          <w:sz w:val="20"/>
          <w:szCs w:val="20"/>
        </w:rPr>
        <w:t>”</w:t>
      </w:r>
      <w:r>
        <w:rPr>
          <w:rFonts w:eastAsia="方正细黑一简体"/>
          <w:sz w:val="20"/>
          <w:szCs w:val="20"/>
        </w:rPr>
        <w:t>）双方平等友好协商，本着平等自愿、诚实守信的原则，就乙方购买甲方管理的理财产品的有关事宜达成协议如下：</w:t>
      </w:r>
    </w:p>
    <w:p>
      <w:pPr>
        <w:numPr>
          <w:ilvl w:val="0"/>
          <w:numId w:val="5"/>
        </w:numPr>
        <w:ind w:firstLine="440" w:firstLineChars="200"/>
        <w:rPr>
          <w:b/>
          <w:bCs/>
          <w:spacing w:val="10"/>
          <w:sz w:val="20"/>
          <w:szCs w:val="20"/>
        </w:rPr>
      </w:pPr>
      <w:r>
        <w:rPr>
          <w:b/>
          <w:bCs/>
          <w:spacing w:val="10"/>
          <w:sz w:val="20"/>
          <w:szCs w:val="20"/>
        </w:rPr>
        <w:t>名词释义</w:t>
      </w:r>
    </w:p>
    <w:p>
      <w:pPr>
        <w:pStyle w:val="19"/>
        <w:ind w:left="360" w:firstLine="340"/>
        <w:rPr>
          <w:spacing w:val="10"/>
          <w:sz w:val="20"/>
          <w:szCs w:val="20"/>
        </w:rPr>
      </w:pPr>
      <w:r>
        <w:rPr>
          <w:spacing w:val="10"/>
          <w:sz w:val="20"/>
          <w:szCs w:val="20"/>
        </w:rPr>
        <w:t>本协议项下用词与对应期次的《理财产品说明书》中相关用词含义一致，本协议另有说明的除外。</w:t>
      </w:r>
    </w:p>
    <w:p>
      <w:pPr>
        <w:numPr>
          <w:ilvl w:val="0"/>
          <w:numId w:val="5"/>
        </w:numPr>
        <w:ind w:firstLine="440" w:firstLineChars="200"/>
        <w:rPr>
          <w:b/>
          <w:bCs/>
          <w:spacing w:val="10"/>
          <w:sz w:val="20"/>
          <w:szCs w:val="20"/>
        </w:rPr>
      </w:pPr>
      <w:r>
        <w:rPr>
          <w:rFonts w:hint="eastAsia"/>
          <w:b/>
          <w:bCs/>
          <w:spacing w:val="10"/>
          <w:sz w:val="20"/>
          <w:szCs w:val="20"/>
        </w:rPr>
        <w:t>销售机构</w:t>
      </w:r>
    </w:p>
    <w:p>
      <w:pPr>
        <w:ind w:firstLine="440" w:firstLineChars="200"/>
        <w:rPr>
          <w:spacing w:val="10"/>
          <w:sz w:val="20"/>
          <w:szCs w:val="20"/>
        </w:rPr>
      </w:pPr>
      <w:r>
        <w:rPr>
          <w:rFonts w:hint="eastAsia"/>
          <w:spacing w:val="10"/>
          <w:sz w:val="20"/>
          <w:szCs w:val="20"/>
        </w:rPr>
        <w:t>【石嘴山银行股份有限公司】作为本理财产品的销售机构，</w:t>
      </w:r>
      <w:r>
        <w:rPr>
          <w:spacing w:val="10"/>
          <w:sz w:val="20"/>
          <w:szCs w:val="20"/>
        </w:rPr>
        <w:t>负责本理财产品的销售</w:t>
      </w:r>
      <w:r>
        <w:rPr>
          <w:rFonts w:hint="eastAsia"/>
          <w:spacing w:val="10"/>
          <w:sz w:val="20"/>
          <w:szCs w:val="20"/>
        </w:rPr>
        <w:t>。</w:t>
      </w:r>
    </w:p>
    <w:p>
      <w:pPr>
        <w:numPr>
          <w:ilvl w:val="0"/>
          <w:numId w:val="5"/>
        </w:numPr>
        <w:ind w:firstLine="440" w:firstLineChars="200"/>
        <w:rPr>
          <w:b/>
          <w:bCs/>
          <w:spacing w:val="10"/>
          <w:sz w:val="20"/>
          <w:szCs w:val="20"/>
        </w:rPr>
      </w:pPr>
      <w:r>
        <w:rPr>
          <w:b/>
          <w:bCs/>
          <w:spacing w:val="10"/>
          <w:sz w:val="20"/>
          <w:szCs w:val="20"/>
        </w:rPr>
        <w:t>甲方的权利与义务：</w:t>
      </w:r>
    </w:p>
    <w:p>
      <w:pPr>
        <w:numPr>
          <w:ilvl w:val="0"/>
          <w:numId w:val="6"/>
        </w:numPr>
        <w:ind w:firstLine="440" w:firstLineChars="200"/>
        <w:rPr>
          <w:spacing w:val="10"/>
          <w:sz w:val="20"/>
          <w:szCs w:val="20"/>
        </w:rPr>
      </w:pPr>
      <w:r>
        <w:rPr>
          <w:spacing w:val="10"/>
          <w:sz w:val="20"/>
          <w:szCs w:val="20"/>
        </w:rPr>
        <w:t>甲方应当履行恪尽职守、勤勉尽责、诚实守信、有效管理的义务。</w:t>
      </w:r>
    </w:p>
    <w:p>
      <w:pPr>
        <w:numPr>
          <w:ilvl w:val="0"/>
          <w:numId w:val="6"/>
        </w:numPr>
        <w:ind w:firstLine="440" w:firstLineChars="200"/>
        <w:rPr>
          <w:spacing w:val="10"/>
          <w:sz w:val="20"/>
          <w:szCs w:val="20"/>
        </w:rPr>
      </w:pPr>
      <w:r>
        <w:rPr>
          <w:rFonts w:hint="eastAsia"/>
          <w:spacing w:val="10"/>
          <w:sz w:val="20"/>
          <w:szCs w:val="20"/>
        </w:rPr>
        <w:t>甲方应当按照理财产品销售文件的约定向投资者分配收益。</w:t>
      </w:r>
    </w:p>
    <w:p>
      <w:pPr>
        <w:numPr>
          <w:ilvl w:val="0"/>
          <w:numId w:val="6"/>
        </w:numPr>
        <w:ind w:firstLine="440" w:firstLineChars="200"/>
        <w:rPr>
          <w:spacing w:val="10"/>
          <w:sz w:val="20"/>
          <w:szCs w:val="20"/>
        </w:rPr>
      </w:pPr>
      <w:r>
        <w:rPr>
          <w:rFonts w:hint="eastAsia"/>
          <w:spacing w:val="10"/>
          <w:sz w:val="20"/>
          <w:szCs w:val="20"/>
        </w:rPr>
        <w:t>甲方应当按照法律法规、理财产品销售文件的约定履行信息披露义务。</w:t>
      </w:r>
    </w:p>
    <w:p>
      <w:pPr>
        <w:numPr>
          <w:ilvl w:val="0"/>
          <w:numId w:val="6"/>
        </w:numPr>
        <w:ind w:firstLine="440" w:firstLineChars="200"/>
        <w:rPr>
          <w:spacing w:val="10"/>
          <w:sz w:val="20"/>
          <w:szCs w:val="20"/>
        </w:rPr>
      </w:pPr>
      <w:r>
        <w:rPr>
          <w:rFonts w:hint="eastAsia"/>
          <w:spacing w:val="10"/>
          <w:sz w:val="20"/>
          <w:szCs w:val="20"/>
        </w:rPr>
        <w:t>甲方应当确保理财业务与其他业务相分离，理财产品之间相分离，理财业务操作与其他业务操作相分离。</w:t>
      </w:r>
    </w:p>
    <w:p>
      <w:pPr>
        <w:numPr>
          <w:ilvl w:val="0"/>
          <w:numId w:val="6"/>
        </w:numPr>
        <w:ind w:firstLine="440" w:firstLineChars="20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pPr>
        <w:numPr>
          <w:ilvl w:val="0"/>
          <w:numId w:val="6"/>
        </w:numPr>
        <w:ind w:firstLine="440" w:firstLineChars="20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pPr>
        <w:numPr>
          <w:ilvl w:val="0"/>
          <w:numId w:val="6"/>
        </w:numPr>
        <w:ind w:firstLine="440" w:firstLineChars="20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pPr>
        <w:numPr>
          <w:ilvl w:val="0"/>
          <w:numId w:val="6"/>
        </w:numPr>
        <w:ind w:firstLine="440" w:firstLineChars="20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pPr>
        <w:numPr>
          <w:ilvl w:val="0"/>
          <w:numId w:val="6"/>
        </w:numPr>
        <w:ind w:firstLine="440" w:firstLineChars="20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numPr>
          <w:ilvl w:val="0"/>
          <w:numId w:val="6"/>
        </w:numPr>
        <w:ind w:firstLine="440" w:firstLineChars="20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pPr>
        <w:numPr>
          <w:ilvl w:val="0"/>
          <w:numId w:val="6"/>
        </w:numPr>
        <w:ind w:firstLine="400" w:firstLineChars="200"/>
        <w:rPr>
          <w:b/>
          <w:bCs/>
          <w:spacing w:val="10"/>
          <w:sz w:val="20"/>
          <w:szCs w:val="20"/>
        </w:rPr>
      </w:pPr>
      <w:r>
        <w:rPr>
          <w:b/>
          <w:bCs/>
          <w:color w:val="000000"/>
          <w:kern w:val="0"/>
          <w:sz w:val="20"/>
          <w:szCs w:val="16"/>
        </w:rPr>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以及在办理与理财产品相关事项</w:t>
      </w:r>
      <w:r>
        <w:rPr>
          <w:rFonts w:hint="eastAsia"/>
          <w:b/>
          <w:bCs/>
          <w:color w:val="000000"/>
          <w:kern w:val="0"/>
          <w:sz w:val="20"/>
          <w:szCs w:val="16"/>
        </w:rPr>
        <w:t>需要</w:t>
      </w:r>
      <w:r>
        <w:rPr>
          <w:b/>
          <w:bCs/>
          <w:color w:val="000000"/>
          <w:kern w:val="0"/>
          <w:sz w:val="20"/>
          <w:szCs w:val="16"/>
        </w:rPr>
        <w:t>的情况下向服务机构及其他管理人或销售机构认为必要的业务合作机构提供投资者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p>
    <w:p>
      <w:pPr>
        <w:numPr>
          <w:ilvl w:val="0"/>
          <w:numId w:val="6"/>
        </w:numPr>
        <w:ind w:firstLine="440" w:firstLineChars="20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pPr>
        <w:numPr>
          <w:ilvl w:val="0"/>
          <w:numId w:val="6"/>
        </w:numPr>
        <w:ind w:firstLine="440" w:firstLineChars="20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pPr>
        <w:numPr>
          <w:ilvl w:val="0"/>
          <w:numId w:val="6"/>
        </w:numPr>
        <w:ind w:firstLine="440" w:firstLineChars="200"/>
        <w:rPr>
          <w:spacing w:val="10"/>
          <w:sz w:val="20"/>
          <w:szCs w:val="20"/>
        </w:rPr>
      </w:pPr>
      <w:r>
        <w:rPr>
          <w:spacing w:val="10"/>
          <w:sz w:val="20"/>
          <w:szCs w:val="20"/>
        </w:rPr>
        <w:t>甲方有权根据本理财产品销售文件的约定提前终止或延长本理财产品的存续期限。</w:t>
      </w:r>
    </w:p>
    <w:p>
      <w:pPr>
        <w:numPr>
          <w:ilvl w:val="0"/>
          <w:numId w:val="6"/>
        </w:numPr>
        <w:ind w:firstLine="440" w:firstLineChars="200"/>
        <w:rPr>
          <w:spacing w:val="10"/>
          <w:sz w:val="20"/>
          <w:szCs w:val="20"/>
        </w:rPr>
      </w:pPr>
      <w:r>
        <w:rPr>
          <w:spacing w:val="10"/>
          <w:sz w:val="20"/>
          <w:szCs w:val="20"/>
        </w:rPr>
        <w:t>甲方有权调整本理财产品的认购或申购起点、单笔认购或申购上限等要素。</w:t>
      </w:r>
    </w:p>
    <w:p>
      <w:pPr>
        <w:numPr>
          <w:ilvl w:val="0"/>
          <w:numId w:val="6"/>
        </w:numPr>
        <w:ind w:firstLine="440" w:firstLineChars="200"/>
        <w:rPr>
          <w:spacing w:val="10"/>
          <w:sz w:val="20"/>
          <w:szCs w:val="20"/>
        </w:rPr>
      </w:pPr>
      <w:r>
        <w:rPr>
          <w:spacing w:val="10"/>
          <w:sz w:val="20"/>
          <w:szCs w:val="20"/>
        </w:rPr>
        <w:t>甲方有权根据相关规定及销售文件的约定，变更销售文件内容。</w:t>
      </w:r>
    </w:p>
    <w:p>
      <w:pPr>
        <w:numPr>
          <w:ilvl w:val="0"/>
          <w:numId w:val="6"/>
        </w:numPr>
        <w:ind w:firstLine="440" w:firstLineChars="200"/>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pPr>
        <w:numPr>
          <w:ilvl w:val="0"/>
          <w:numId w:val="6"/>
        </w:numPr>
        <w:ind w:firstLine="440" w:firstLineChars="200"/>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pPr>
        <w:numPr>
          <w:ilvl w:val="0"/>
          <w:numId w:val="6"/>
        </w:numPr>
        <w:ind w:firstLine="440" w:firstLineChars="20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pPr>
        <w:numPr>
          <w:ilvl w:val="0"/>
          <w:numId w:val="6"/>
        </w:numPr>
        <w:ind w:firstLine="440" w:firstLineChars="20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7"/>
    <w:p>
      <w:pPr>
        <w:numPr>
          <w:ilvl w:val="0"/>
          <w:numId w:val="6"/>
        </w:numPr>
        <w:ind w:firstLine="440" w:firstLineChars="20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pPr>
        <w:ind w:left="341"/>
        <w:rPr>
          <w:b/>
          <w:bCs/>
          <w:spacing w:val="10"/>
          <w:sz w:val="20"/>
          <w:szCs w:val="20"/>
        </w:rPr>
      </w:pPr>
      <w:r>
        <w:rPr>
          <w:rFonts w:hint="eastAsia"/>
          <w:b/>
          <w:bCs/>
          <w:spacing w:val="10"/>
          <w:sz w:val="20"/>
          <w:szCs w:val="20"/>
        </w:rPr>
        <w:t>4</w:t>
      </w:r>
      <w:r>
        <w:rPr>
          <w:b/>
          <w:bCs/>
          <w:spacing w:val="10"/>
          <w:sz w:val="20"/>
          <w:szCs w:val="20"/>
        </w:rPr>
        <w:t>.乙方的权利与义务：</w:t>
      </w:r>
    </w:p>
    <w:p>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pPr>
        <w:numPr>
          <w:ilvl w:val="0"/>
          <w:numId w:val="7"/>
        </w:numPr>
        <w:ind w:firstLine="340"/>
        <w:rPr>
          <w:spacing w:val="10"/>
          <w:sz w:val="20"/>
          <w:szCs w:val="20"/>
        </w:rPr>
      </w:pPr>
      <w:r>
        <w:rPr>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7"/>
        </w:numPr>
        <w:ind w:firstLine="340"/>
        <w:rPr>
          <w:spacing w:val="10"/>
          <w:sz w:val="20"/>
          <w:szCs w:val="20"/>
        </w:rPr>
      </w:pPr>
      <w:r>
        <w:rPr>
          <w:spacing w:val="10"/>
          <w:sz w:val="20"/>
          <w:szCs w:val="20"/>
        </w:rPr>
        <w:t>乙方保证，乙方系符合监管规定要求的合格投资者。（私募产品投资者适用）</w:t>
      </w:r>
    </w:p>
    <w:p>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pPr>
        <w:numPr>
          <w:ilvl w:val="0"/>
          <w:numId w:val="7"/>
        </w:numPr>
        <w:ind w:firstLine="440" w:firstLineChars="200"/>
        <w:rPr>
          <w:spacing w:val="10"/>
          <w:sz w:val="20"/>
          <w:szCs w:val="20"/>
        </w:rPr>
      </w:pPr>
      <w:r>
        <w:rPr>
          <w:spacing w:val="10"/>
          <w:sz w:val="20"/>
          <w:szCs w:val="20"/>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pPr>
        <w:numPr>
          <w:ilvl w:val="0"/>
          <w:numId w:val="7"/>
        </w:numPr>
        <w:ind w:firstLine="440" w:firstLineChars="20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pPr>
        <w:numPr>
          <w:ilvl w:val="0"/>
          <w:numId w:val="8"/>
        </w:numPr>
        <w:ind w:firstLine="440" w:firstLineChars="200"/>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pPr>
        <w:numPr>
          <w:ilvl w:val="0"/>
          <w:numId w:val="8"/>
        </w:numPr>
        <w:ind w:firstLine="440" w:firstLineChars="200"/>
        <w:rPr>
          <w:spacing w:val="10"/>
          <w:sz w:val="20"/>
          <w:szCs w:val="20"/>
        </w:rPr>
      </w:pPr>
      <w:r>
        <w:rPr>
          <w:spacing w:val="10"/>
          <w:sz w:val="20"/>
          <w:szCs w:val="20"/>
        </w:rPr>
        <w:t>乙方承诺，不利用本理财业务及本理财产品说明书项下理财产品从事违法活动。</w:t>
      </w:r>
    </w:p>
    <w:p>
      <w:pPr>
        <w:numPr>
          <w:ilvl w:val="0"/>
          <w:numId w:val="8"/>
        </w:numPr>
        <w:ind w:firstLine="440" w:firstLineChars="200"/>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pPr>
        <w:numPr>
          <w:ilvl w:val="0"/>
          <w:numId w:val="8"/>
        </w:numPr>
        <w:ind w:firstLine="440" w:firstLineChars="200"/>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2" w:name="_Hlk41902728"/>
    </w:p>
    <w:p>
      <w:pPr>
        <w:numPr>
          <w:ilvl w:val="0"/>
          <w:numId w:val="8"/>
        </w:numPr>
        <w:ind w:firstLine="440" w:firstLineChars="20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pPr>
        <w:numPr>
          <w:ilvl w:val="0"/>
          <w:numId w:val="8"/>
        </w:numPr>
        <w:ind w:firstLine="440" w:firstLineChars="20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pPr>
        <w:numPr>
          <w:ilvl w:val="0"/>
          <w:numId w:val="8"/>
        </w:numPr>
        <w:ind w:firstLine="440" w:firstLineChars="20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pPr>
        <w:numPr>
          <w:ilvl w:val="0"/>
          <w:numId w:val="8"/>
        </w:numPr>
        <w:ind w:firstLine="440" w:firstLineChars="200"/>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pPr>
        <w:numPr>
          <w:ilvl w:val="0"/>
          <w:numId w:val="8"/>
        </w:numPr>
        <w:ind w:firstLine="440" w:firstLineChars="200"/>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numPr>
          <w:ilvl w:val="0"/>
          <w:numId w:val="8"/>
        </w:numPr>
        <w:ind w:firstLine="440" w:firstLineChars="20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pPr>
        <w:ind w:firstLine="440" w:firstLineChars="200"/>
        <w:rPr>
          <w:spacing w:val="10"/>
          <w:sz w:val="20"/>
          <w:szCs w:val="20"/>
        </w:rPr>
      </w:pPr>
      <w:r>
        <w:rPr>
          <w:rFonts w:hint="eastAsia"/>
          <w:b/>
          <w:bCs/>
          <w:spacing w:val="10"/>
          <w:sz w:val="20"/>
          <w:szCs w:val="20"/>
        </w:rPr>
        <w:t>5</w:t>
      </w:r>
      <w:r>
        <w:rPr>
          <w:b/>
          <w:bCs/>
          <w:spacing w:val="10"/>
          <w:sz w:val="20"/>
          <w:szCs w:val="20"/>
        </w:rPr>
        <w:t>.产品认购或申购、赎回</w:t>
      </w:r>
    </w:p>
    <w:p>
      <w:pPr>
        <w:numPr>
          <w:ilvl w:val="0"/>
          <w:numId w:val="9"/>
        </w:numPr>
        <w:ind w:firstLine="340"/>
        <w:rPr>
          <w:spacing w:val="10"/>
          <w:sz w:val="20"/>
          <w:szCs w:val="20"/>
        </w:rPr>
      </w:pPr>
      <w:r>
        <w:rPr>
          <w:spacing w:val="10"/>
          <w:sz w:val="20"/>
          <w:szCs w:val="20"/>
        </w:rPr>
        <w:t>理财产品认购或申购：参照《投资者权益须知》约定。</w:t>
      </w:r>
    </w:p>
    <w:p>
      <w:pPr>
        <w:numPr>
          <w:ilvl w:val="0"/>
          <w:numId w:val="9"/>
        </w:numPr>
        <w:ind w:firstLine="440" w:firstLineChars="20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pPr>
        <w:numPr>
          <w:ilvl w:val="0"/>
          <w:numId w:val="9"/>
        </w:numPr>
        <w:ind w:firstLine="440" w:firstLineChars="20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pPr>
        <w:numPr>
          <w:ilvl w:val="0"/>
          <w:numId w:val="9"/>
        </w:numPr>
        <w:ind w:firstLine="440" w:firstLineChars="200"/>
        <w:rPr>
          <w:spacing w:val="10"/>
          <w:sz w:val="20"/>
          <w:szCs w:val="20"/>
        </w:rPr>
      </w:pPr>
      <w:r>
        <w:rPr>
          <w:spacing w:val="10"/>
          <w:sz w:val="20"/>
          <w:szCs w:val="20"/>
        </w:rPr>
        <w:t>理财产品投资品种、投资起点金额、收益支付方式：参照对应期次的《理财产品说明书》中的约定。</w:t>
      </w:r>
    </w:p>
    <w:p>
      <w:pPr>
        <w:numPr>
          <w:ilvl w:val="0"/>
          <w:numId w:val="9"/>
        </w:numPr>
        <w:ind w:firstLine="440" w:firstLineChars="20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pPr>
        <w:ind w:firstLine="440" w:firstLineChars="200"/>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pPr>
        <w:ind w:firstLine="400" w:firstLineChars="200"/>
        <w:rPr>
          <w:color w:val="3D3D3D"/>
          <w:kern w:val="0"/>
          <w:sz w:val="20"/>
          <w:szCs w:val="20"/>
        </w:rPr>
      </w:pPr>
      <w:r>
        <w:rPr>
          <w:color w:val="3D3D3D"/>
          <w:kern w:val="0"/>
          <w:sz w:val="20"/>
          <w:szCs w:val="20"/>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20"/>
          <w:szCs w:val="20"/>
        </w:rPr>
        <w:t>。</w:t>
      </w:r>
    </w:p>
    <w:p>
      <w:pPr>
        <w:ind w:firstLine="440" w:firstLineChars="200"/>
        <w:rPr>
          <w:b/>
          <w:bCs/>
          <w:spacing w:val="10"/>
          <w:sz w:val="20"/>
          <w:szCs w:val="20"/>
        </w:rPr>
      </w:pPr>
      <w:r>
        <w:rPr>
          <w:rFonts w:hint="eastAsia"/>
          <w:b/>
          <w:bCs/>
          <w:spacing w:val="10"/>
          <w:sz w:val="20"/>
          <w:szCs w:val="20"/>
        </w:rPr>
        <w:t>（1）理财</w:t>
      </w:r>
      <w:r>
        <w:rPr>
          <w:b/>
          <w:bCs/>
          <w:spacing w:val="10"/>
          <w:sz w:val="20"/>
          <w:szCs w:val="20"/>
        </w:rPr>
        <w:t>产品提前终止</w:t>
      </w:r>
    </w:p>
    <w:p>
      <w:pPr>
        <w:ind w:firstLine="440" w:firstLineChars="200"/>
        <w:rPr>
          <w:bCs/>
          <w:spacing w:val="10"/>
          <w:sz w:val="20"/>
          <w:szCs w:val="20"/>
        </w:rPr>
      </w:pPr>
      <w:r>
        <w:rPr>
          <w:bCs/>
          <w:spacing w:val="10"/>
          <w:sz w:val="20"/>
          <w:szCs w:val="20"/>
        </w:rPr>
        <w:t>在理财产品存续期内，如发生以下事项时，南银理财可对本理财产品行使全部提前终止权：</w:t>
      </w:r>
    </w:p>
    <w:p>
      <w:pPr>
        <w:pStyle w:val="19"/>
        <w:numPr>
          <w:ilvl w:val="0"/>
          <w:numId w:val="10"/>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pPr>
        <w:pStyle w:val="19"/>
        <w:numPr>
          <w:ilvl w:val="0"/>
          <w:numId w:val="10"/>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pPr>
        <w:pStyle w:val="19"/>
        <w:numPr>
          <w:ilvl w:val="0"/>
          <w:numId w:val="10"/>
        </w:numPr>
        <w:ind w:left="780"/>
        <w:rPr>
          <w:bCs/>
          <w:spacing w:val="10"/>
          <w:sz w:val="20"/>
          <w:szCs w:val="20"/>
        </w:rPr>
      </w:pPr>
      <w:r>
        <w:rPr>
          <w:bCs/>
          <w:spacing w:val="10"/>
          <w:sz w:val="20"/>
          <w:szCs w:val="20"/>
        </w:rPr>
        <w:t>因不可抗力因素导致本理财产品必须提前终止的；</w:t>
      </w:r>
    </w:p>
    <w:p>
      <w:pPr>
        <w:pStyle w:val="19"/>
        <w:numPr>
          <w:ilvl w:val="0"/>
          <w:numId w:val="10"/>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pPr>
        <w:pStyle w:val="19"/>
        <w:numPr>
          <w:ilvl w:val="0"/>
          <w:numId w:val="10"/>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pPr>
        <w:pStyle w:val="19"/>
        <w:numPr>
          <w:ilvl w:val="0"/>
          <w:numId w:val="10"/>
        </w:numPr>
        <w:ind w:left="780"/>
        <w:rPr>
          <w:bCs/>
          <w:spacing w:val="10"/>
          <w:sz w:val="20"/>
          <w:szCs w:val="20"/>
        </w:rPr>
      </w:pPr>
      <w:r>
        <w:rPr>
          <w:bCs/>
          <w:spacing w:val="10"/>
          <w:sz w:val="20"/>
          <w:szCs w:val="20"/>
        </w:rPr>
        <w:t>因管理人解散、破产、撤销、被取消业务资格等原因无法继续履行相应职责导致产品无法继续运作；</w:t>
      </w:r>
    </w:p>
    <w:p>
      <w:pPr>
        <w:pStyle w:val="19"/>
        <w:numPr>
          <w:ilvl w:val="0"/>
          <w:numId w:val="10"/>
        </w:numPr>
        <w:ind w:left="780"/>
        <w:rPr>
          <w:bCs/>
          <w:spacing w:val="10"/>
          <w:sz w:val="20"/>
          <w:szCs w:val="20"/>
        </w:rPr>
      </w:pPr>
      <w:r>
        <w:rPr>
          <w:bCs/>
          <w:spacing w:val="10"/>
          <w:sz w:val="20"/>
          <w:szCs w:val="20"/>
        </w:rPr>
        <w:t>理财产品所投资资产部分或全部提前偿付；</w:t>
      </w:r>
    </w:p>
    <w:p>
      <w:pPr>
        <w:pStyle w:val="19"/>
        <w:numPr>
          <w:ilvl w:val="0"/>
          <w:numId w:val="10"/>
        </w:numPr>
        <w:ind w:left="780"/>
        <w:rPr>
          <w:bCs/>
          <w:spacing w:val="10"/>
          <w:sz w:val="20"/>
          <w:szCs w:val="20"/>
        </w:rPr>
      </w:pPr>
      <w:r>
        <w:rPr>
          <w:bCs/>
          <w:spacing w:val="10"/>
          <w:sz w:val="20"/>
          <w:szCs w:val="20"/>
        </w:rPr>
        <w:t>提前终止产品比维持产品运作更有利于保护产品持有人的权益；</w:t>
      </w:r>
    </w:p>
    <w:p>
      <w:pPr>
        <w:pStyle w:val="19"/>
        <w:numPr>
          <w:ilvl w:val="0"/>
          <w:numId w:val="10"/>
        </w:numPr>
        <w:ind w:left="780"/>
        <w:rPr>
          <w:bCs/>
          <w:spacing w:val="10"/>
          <w:sz w:val="20"/>
          <w:szCs w:val="20"/>
        </w:rPr>
      </w:pPr>
      <w:r>
        <w:rPr>
          <w:bCs/>
          <w:spacing w:val="10"/>
          <w:sz w:val="20"/>
          <w:szCs w:val="20"/>
        </w:rPr>
        <w:t>南银理财合理认为应该提前终止本理财产品的其他情况。</w:t>
      </w:r>
    </w:p>
    <w:p>
      <w:pPr>
        <w:pStyle w:val="19"/>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pPr>
        <w:ind w:firstLine="440" w:firstLineChars="200"/>
        <w:rPr>
          <w:b/>
          <w:bCs/>
          <w:spacing w:val="10"/>
          <w:sz w:val="20"/>
          <w:szCs w:val="20"/>
        </w:rPr>
      </w:pPr>
      <w:r>
        <w:rPr>
          <w:rFonts w:hint="eastAsia"/>
          <w:b/>
          <w:bCs/>
          <w:spacing w:val="10"/>
          <w:sz w:val="20"/>
          <w:szCs w:val="20"/>
        </w:rPr>
        <w:t>（2）</w:t>
      </w:r>
      <w:r>
        <w:rPr>
          <w:b/>
          <w:bCs/>
          <w:spacing w:val="10"/>
          <w:sz w:val="20"/>
          <w:szCs w:val="20"/>
        </w:rPr>
        <w:t>理财产品的延期</w:t>
      </w:r>
      <w:r>
        <w:rPr>
          <w:rFonts w:hint="eastAsia"/>
          <w:b/>
          <w:bCs/>
          <w:spacing w:val="10"/>
          <w:sz w:val="20"/>
          <w:szCs w:val="20"/>
        </w:rPr>
        <w:t>终止</w:t>
      </w:r>
    </w:p>
    <w:p>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pPr>
        <w:pStyle w:val="19"/>
        <w:numPr>
          <w:ilvl w:val="0"/>
          <w:numId w:val="11"/>
        </w:numPr>
        <w:ind w:left="780"/>
        <w:rPr>
          <w:bCs/>
          <w:spacing w:val="10"/>
          <w:sz w:val="20"/>
          <w:szCs w:val="20"/>
        </w:rPr>
      </w:pPr>
      <w:r>
        <w:rPr>
          <w:bCs/>
          <w:spacing w:val="10"/>
          <w:sz w:val="20"/>
          <w:szCs w:val="20"/>
        </w:rPr>
        <w:t>产品到期日遇非工作日，产品到期日顺延至下一工作日；</w:t>
      </w:r>
    </w:p>
    <w:p>
      <w:pPr>
        <w:pStyle w:val="19"/>
        <w:numPr>
          <w:ilvl w:val="0"/>
          <w:numId w:val="11"/>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pPr>
        <w:pStyle w:val="19"/>
        <w:numPr>
          <w:ilvl w:val="0"/>
          <w:numId w:val="11"/>
        </w:numPr>
        <w:ind w:left="780"/>
        <w:rPr>
          <w:bCs/>
          <w:spacing w:val="10"/>
          <w:sz w:val="20"/>
          <w:szCs w:val="20"/>
        </w:rPr>
      </w:pPr>
      <w:r>
        <w:rPr>
          <w:bCs/>
          <w:spacing w:val="10"/>
          <w:sz w:val="20"/>
          <w:szCs w:val="20"/>
        </w:rPr>
        <w:t>因资金在途等原因，导致未能及时收回资金；</w:t>
      </w:r>
    </w:p>
    <w:p>
      <w:pPr>
        <w:pStyle w:val="19"/>
        <w:numPr>
          <w:ilvl w:val="0"/>
          <w:numId w:val="11"/>
        </w:numPr>
        <w:ind w:left="780"/>
        <w:rPr>
          <w:bCs/>
          <w:spacing w:val="10"/>
          <w:sz w:val="20"/>
          <w:szCs w:val="20"/>
        </w:rPr>
      </w:pPr>
      <w:r>
        <w:rPr>
          <w:bCs/>
          <w:spacing w:val="10"/>
          <w:sz w:val="20"/>
          <w:szCs w:val="20"/>
        </w:rPr>
        <w:t>因不可抗力等原因，导致管理人无法及时收回资金及/或进行理财资金清算分配的；</w:t>
      </w:r>
    </w:p>
    <w:p>
      <w:pPr>
        <w:pStyle w:val="19"/>
        <w:numPr>
          <w:ilvl w:val="0"/>
          <w:numId w:val="11"/>
        </w:numPr>
        <w:ind w:left="780"/>
        <w:rPr>
          <w:bCs/>
          <w:spacing w:val="10"/>
          <w:sz w:val="20"/>
          <w:szCs w:val="20"/>
        </w:rPr>
      </w:pPr>
      <w:r>
        <w:rPr>
          <w:bCs/>
          <w:spacing w:val="10"/>
          <w:sz w:val="20"/>
          <w:szCs w:val="20"/>
        </w:rPr>
        <w:t>理财产品资产涉及诉讼（或仲裁），且预计诉讼（或仲裁）及执行程序于理财产品名义到期日尚未终结；</w:t>
      </w:r>
    </w:p>
    <w:p>
      <w:pPr>
        <w:pStyle w:val="19"/>
        <w:numPr>
          <w:ilvl w:val="0"/>
          <w:numId w:val="11"/>
        </w:numPr>
        <w:ind w:left="780"/>
        <w:rPr>
          <w:bCs/>
          <w:spacing w:val="10"/>
          <w:sz w:val="20"/>
          <w:szCs w:val="20"/>
        </w:rPr>
      </w:pPr>
      <w:r>
        <w:rPr>
          <w:bCs/>
          <w:spacing w:val="10"/>
          <w:sz w:val="20"/>
          <w:szCs w:val="20"/>
        </w:rPr>
        <w:t>其他管理人认为需要延期的情形；</w:t>
      </w:r>
    </w:p>
    <w:p>
      <w:pPr>
        <w:pStyle w:val="19"/>
        <w:numPr>
          <w:ilvl w:val="0"/>
          <w:numId w:val="11"/>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pPr>
        <w:ind w:firstLine="440" w:firstLineChars="200"/>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pPr>
        <w:ind w:firstLine="440" w:firstLineChars="200"/>
        <w:rPr>
          <w:b/>
          <w:spacing w:val="10"/>
          <w:sz w:val="20"/>
          <w:szCs w:val="20"/>
        </w:rPr>
      </w:pPr>
      <w:r>
        <w:rPr>
          <w:rFonts w:hint="eastAsia"/>
          <w:b/>
          <w:spacing w:val="10"/>
          <w:sz w:val="20"/>
          <w:szCs w:val="20"/>
        </w:rPr>
        <w:t xml:space="preserve">7.产品资产的清算 </w:t>
      </w:r>
    </w:p>
    <w:p>
      <w:pPr>
        <w:ind w:firstLine="440" w:firstLineChars="20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pPr>
        <w:ind w:firstLine="440" w:firstLineChars="200"/>
        <w:rPr>
          <w:bCs/>
          <w:spacing w:val="10"/>
          <w:sz w:val="20"/>
          <w:szCs w:val="20"/>
        </w:rPr>
      </w:pPr>
      <w:r>
        <w:rPr>
          <w:rFonts w:hint="eastAsia"/>
          <w:bCs/>
          <w:spacing w:val="10"/>
          <w:sz w:val="20"/>
          <w:szCs w:val="20"/>
        </w:rPr>
        <w:t>清算期原则上不得超过5个工作日，因清算期超过5个工作日的，应当在理财产品终止前，将依约定进行公告。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pPr>
        <w:ind w:firstLine="440" w:firstLineChars="200"/>
        <w:rPr>
          <w:b/>
          <w:bCs/>
          <w:spacing w:val="10"/>
          <w:sz w:val="20"/>
          <w:szCs w:val="20"/>
        </w:rPr>
      </w:pPr>
      <w:r>
        <w:rPr>
          <w:rFonts w:hint="eastAsia"/>
          <w:b/>
          <w:bCs/>
          <w:spacing w:val="10"/>
          <w:sz w:val="20"/>
          <w:szCs w:val="20"/>
        </w:rPr>
        <w:t>8</w:t>
      </w:r>
      <w:r>
        <w:rPr>
          <w:b/>
          <w:bCs/>
          <w:spacing w:val="10"/>
          <w:sz w:val="20"/>
          <w:szCs w:val="20"/>
        </w:rPr>
        <w:t>.特别提示</w:t>
      </w:r>
    </w:p>
    <w:p>
      <w:pPr>
        <w:ind w:firstLine="440" w:firstLineChars="200"/>
        <w:rPr>
          <w:b/>
          <w:spacing w:val="10"/>
          <w:sz w:val="20"/>
          <w:szCs w:val="20"/>
        </w:rPr>
      </w:pPr>
      <w:r>
        <w:rPr>
          <w:b/>
          <w:spacing w:val="10"/>
          <w:sz w:val="20"/>
          <w:szCs w:val="20"/>
        </w:rPr>
        <w:t>在本理财产品存续期内</w:t>
      </w:r>
      <w:r>
        <w:rPr>
          <w:rFonts w:hint="eastAsia"/>
          <w:b/>
          <w:spacing w:val="10"/>
          <w:sz w:val="20"/>
          <w:szCs w:val="20"/>
        </w:rPr>
        <w:t>：</w:t>
      </w:r>
    </w:p>
    <w:p>
      <w:pPr>
        <w:numPr>
          <w:ilvl w:val="0"/>
          <w:numId w:val="12"/>
        </w:numPr>
        <w:ind w:firstLine="440" w:firstLineChars="200"/>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pPr>
        <w:numPr>
          <w:ilvl w:val="0"/>
          <w:numId w:val="12"/>
        </w:numPr>
        <w:ind w:firstLine="440" w:firstLineChars="200"/>
        <w:rPr>
          <w:b/>
          <w:spacing w:val="10"/>
          <w:sz w:val="20"/>
          <w:szCs w:val="20"/>
        </w:rPr>
      </w:pPr>
      <w:r>
        <w:rPr>
          <w:rFonts w:hint="eastAsia"/>
          <w:b/>
          <w:spacing w:val="10"/>
          <w:sz w:val="20"/>
          <w:szCs w:val="20"/>
        </w:rPr>
        <w:t>若因</w:t>
      </w:r>
      <w:r>
        <w:rPr>
          <w:b/>
          <w:spacing w:val="10"/>
          <w:sz w:val="20"/>
          <w:szCs w:val="20"/>
        </w:rPr>
        <w:t>市场情况等发生变化或是出于维护本理财产品正常运营或管理的需要，或基于甲方合理认定的其他情形，甲方有权单方面对本理财产品的销售文件进行修订，包括但不限于</w:t>
      </w:r>
      <w:r>
        <w:rPr>
          <w:rFonts w:hint="eastAsia"/>
          <w:b/>
          <w:spacing w:val="10"/>
          <w:sz w:val="20"/>
          <w:szCs w:val="20"/>
        </w:rPr>
        <w:t>对本理财产品的投资范围、投资资产种类、投资比例或已约定的收费项目、条件、标准和方式等进行调整，</w:t>
      </w:r>
      <w:r>
        <w:rPr>
          <w:b/>
          <w:spacing w:val="10"/>
          <w:sz w:val="20"/>
          <w:szCs w:val="20"/>
        </w:rPr>
        <w:t>并进行信息披露</w:t>
      </w:r>
      <w:r>
        <w:rPr>
          <w:rFonts w:hint="eastAsia"/>
          <w:b/>
          <w:spacing w:val="10"/>
          <w:sz w:val="20"/>
          <w:szCs w:val="20"/>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numPr>
          <w:ilvl w:val="0"/>
          <w:numId w:val="12"/>
        </w:numPr>
        <w:ind w:firstLine="440" w:firstLineChars="200"/>
        <w:rPr>
          <w:bCs/>
          <w:spacing w:val="10"/>
          <w:sz w:val="20"/>
          <w:szCs w:val="20"/>
        </w:rPr>
      </w:pPr>
      <w:r>
        <w:rPr>
          <w:bCs/>
          <w:spacing w:val="10"/>
          <w:sz w:val="20"/>
          <w:szCs w:val="20"/>
        </w:rPr>
        <w:t>免责条款</w:t>
      </w:r>
    </w:p>
    <w:p>
      <w:pPr>
        <w:pStyle w:val="19"/>
        <w:numPr>
          <w:ilvl w:val="0"/>
          <w:numId w:val="13"/>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pPr>
        <w:pStyle w:val="19"/>
        <w:numPr>
          <w:ilvl w:val="0"/>
          <w:numId w:val="13"/>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End w:id="25"/>
      <w:bookmarkStart w:id="26" w:name="_Hlk41862861"/>
      <w:r>
        <w:rPr>
          <w:bCs/>
          <w:spacing w:val="10"/>
          <w:sz w:val="20"/>
          <w:szCs w:val="20"/>
        </w:rPr>
        <w:t>罢工、内战、战争、军事行动、任何种类的恐怖活动、暴动、公众示威或抗议</w:t>
      </w:r>
      <w:bookmarkEnd w:id="26"/>
      <w:bookmarkStart w:id="27" w:name="_Hlk41903076"/>
      <w:r>
        <w:rPr>
          <w:bCs/>
          <w:spacing w:val="10"/>
          <w:sz w:val="20"/>
          <w:szCs w:val="20"/>
        </w:rPr>
        <w:t>；新的适用法律或国家政策的颁布或实施、对原适用法律或国家政策的修改；</w:t>
      </w:r>
      <w:bookmarkEnd w:id="27"/>
      <w:bookmarkStart w:id="28" w:name="_Hlk41862959"/>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因理财产品各方和/或其关联方运营网络系统遭受黑客攻击、电信部门技术调整或故障等原因而造成的理财产品各方和/或其关联方之服务、营业的中断或者延迟;</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pPr>
        <w:pStyle w:val="19"/>
        <w:numPr>
          <w:ilvl w:val="0"/>
          <w:numId w:val="13"/>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pPr>
        <w:pStyle w:val="19"/>
        <w:numPr>
          <w:ilvl w:val="0"/>
          <w:numId w:val="13"/>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pPr>
        <w:numPr>
          <w:ilvl w:val="0"/>
          <w:numId w:val="12"/>
        </w:numPr>
        <w:ind w:firstLine="440" w:firstLineChars="200"/>
        <w:rPr>
          <w:spacing w:val="10"/>
          <w:sz w:val="20"/>
          <w:szCs w:val="20"/>
        </w:rPr>
      </w:pPr>
      <w:r>
        <w:rPr>
          <w:bCs/>
          <w:spacing w:val="10"/>
          <w:sz w:val="20"/>
          <w:szCs w:val="20"/>
        </w:rPr>
        <w:t>赔偿</w:t>
      </w:r>
      <w:r>
        <w:rPr>
          <w:spacing w:val="10"/>
          <w:sz w:val="20"/>
          <w:szCs w:val="20"/>
        </w:rPr>
        <w:t>及责任限制</w:t>
      </w:r>
    </w:p>
    <w:p>
      <w:pPr>
        <w:ind w:firstLine="440" w:firstLineChars="20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pPr>
        <w:ind w:firstLine="440" w:firstLineChars="20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pPr>
        <w:numPr>
          <w:ilvl w:val="0"/>
          <w:numId w:val="12"/>
        </w:numPr>
        <w:ind w:firstLine="440" w:firstLineChars="200"/>
        <w:rPr>
          <w:spacing w:val="10"/>
          <w:sz w:val="20"/>
          <w:szCs w:val="20"/>
        </w:rPr>
      </w:pPr>
      <w:r>
        <w:rPr>
          <w:bCs/>
          <w:spacing w:val="10"/>
          <w:sz w:val="20"/>
          <w:szCs w:val="20"/>
        </w:rPr>
        <w:t>抵销</w:t>
      </w:r>
    </w:p>
    <w:p>
      <w:pPr>
        <w:pStyle w:val="19"/>
        <w:numPr>
          <w:ilvl w:val="0"/>
          <w:numId w:val="14"/>
        </w:numPr>
        <w:ind w:left="780"/>
        <w:rPr>
          <w:bCs/>
          <w:spacing w:val="10"/>
          <w:sz w:val="20"/>
          <w:szCs w:val="20"/>
        </w:rPr>
      </w:pPr>
      <w:r>
        <w:rPr>
          <w:b/>
          <w:spacing w:val="10"/>
          <w:sz w:val="20"/>
          <w:szCs w:val="20"/>
        </w:rPr>
        <w:t>除享有法律规定的或其他的抵销权利外，甲方有权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pPr>
        <w:pStyle w:val="19"/>
        <w:numPr>
          <w:ilvl w:val="0"/>
          <w:numId w:val="14"/>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pPr>
        <w:numPr>
          <w:ilvl w:val="0"/>
          <w:numId w:val="12"/>
        </w:numPr>
        <w:ind w:firstLine="440" w:firstLineChars="200"/>
        <w:rPr>
          <w:spacing w:val="10"/>
          <w:sz w:val="20"/>
          <w:szCs w:val="20"/>
        </w:rPr>
      </w:pPr>
      <w:r>
        <w:rPr>
          <w:bCs/>
          <w:spacing w:val="10"/>
          <w:sz w:val="20"/>
          <w:szCs w:val="20"/>
        </w:rPr>
        <w:t>弃权</w:t>
      </w:r>
    </w:p>
    <w:p>
      <w:pPr>
        <w:ind w:firstLine="440" w:firstLineChars="20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numPr>
          <w:ilvl w:val="0"/>
          <w:numId w:val="12"/>
        </w:numPr>
        <w:ind w:firstLine="440" w:firstLineChars="200"/>
        <w:rPr>
          <w:spacing w:val="10"/>
          <w:sz w:val="20"/>
          <w:szCs w:val="20"/>
        </w:rPr>
      </w:pPr>
      <w:r>
        <w:rPr>
          <w:spacing w:val="10"/>
          <w:sz w:val="20"/>
          <w:szCs w:val="20"/>
        </w:rPr>
        <w:t>可分割性</w:t>
      </w:r>
    </w:p>
    <w:p>
      <w:pPr>
        <w:ind w:firstLine="440" w:firstLineChars="200"/>
        <w:rPr>
          <w:spacing w:val="10"/>
          <w:sz w:val="20"/>
          <w:szCs w:val="20"/>
        </w:rPr>
      </w:pPr>
      <w:r>
        <w:rPr>
          <w:spacing w:val="10"/>
          <w:sz w:val="20"/>
          <w:szCs w:val="20"/>
        </w:rPr>
        <w:t>协议的任何条款在任何方面的非法、无效或不可强制执行，不影响协议的其他条款的合法性、有效性或可强制执行。</w:t>
      </w:r>
    </w:p>
    <w:p>
      <w:pPr>
        <w:numPr>
          <w:ilvl w:val="0"/>
          <w:numId w:val="12"/>
        </w:numPr>
        <w:ind w:firstLine="440" w:firstLineChars="200"/>
        <w:rPr>
          <w:spacing w:val="10"/>
          <w:sz w:val="20"/>
          <w:szCs w:val="20"/>
        </w:rPr>
      </w:pPr>
      <w:r>
        <w:rPr>
          <w:spacing w:val="10"/>
          <w:sz w:val="20"/>
          <w:szCs w:val="20"/>
        </w:rPr>
        <w:t>税收条款</w:t>
      </w:r>
    </w:p>
    <w:p>
      <w:pPr>
        <w:ind w:firstLine="440" w:firstLineChars="200"/>
        <w:rPr>
          <w:spacing w:val="10"/>
          <w:sz w:val="20"/>
          <w:szCs w:val="20"/>
        </w:rPr>
      </w:pPr>
      <w:r>
        <w:rPr>
          <w:spacing w:val="10"/>
          <w:sz w:val="20"/>
          <w:szCs w:val="20"/>
        </w:rPr>
        <w:t>以对应期次的《理财产品说明书》约定的税务处理方式为准，如遇国家政策调整则相应执行最新政策。</w:t>
      </w:r>
    </w:p>
    <w:p>
      <w:pPr>
        <w:ind w:firstLine="440" w:firstLineChars="200"/>
        <w:rPr>
          <w:spacing w:val="10"/>
          <w:sz w:val="20"/>
          <w:szCs w:val="20"/>
        </w:rPr>
      </w:pPr>
      <w:r>
        <w:rPr>
          <w:rFonts w:hint="eastAsia"/>
          <w:b/>
          <w:bCs/>
          <w:spacing w:val="10"/>
          <w:sz w:val="20"/>
          <w:szCs w:val="20"/>
        </w:rPr>
        <w:t>9</w:t>
      </w:r>
      <w:r>
        <w:rPr>
          <w:b/>
          <w:bCs/>
          <w:spacing w:val="10"/>
          <w:sz w:val="20"/>
          <w:szCs w:val="20"/>
        </w:rPr>
        <w:t>.争议处理</w:t>
      </w:r>
    </w:p>
    <w:p>
      <w:pPr>
        <w:ind w:firstLine="440" w:firstLineChars="200"/>
        <w:rPr>
          <w:spacing w:val="10"/>
          <w:sz w:val="20"/>
          <w:szCs w:val="20"/>
        </w:rPr>
      </w:pPr>
      <w:r>
        <w:rPr>
          <w:spacing w:val="10"/>
          <w:sz w:val="20"/>
          <w:szCs w:val="20"/>
        </w:rPr>
        <w:t>本协议在履行过程中发生争议，可以通过协商解决；协商不成的，任何一方有权向甲方所在地有管辖权的人民法院提起诉讼。</w:t>
      </w:r>
    </w:p>
    <w:p>
      <w:pPr>
        <w:ind w:firstLine="440" w:firstLineChars="200"/>
        <w:rPr>
          <w:b/>
          <w:bCs/>
          <w:spacing w:val="10"/>
          <w:sz w:val="20"/>
          <w:szCs w:val="20"/>
        </w:rPr>
      </w:pPr>
      <w:r>
        <w:rPr>
          <w:rFonts w:hint="eastAsia"/>
          <w:b/>
          <w:bCs/>
          <w:spacing w:val="10"/>
          <w:sz w:val="20"/>
          <w:szCs w:val="20"/>
        </w:rPr>
        <w:t>10</w:t>
      </w:r>
      <w:r>
        <w:rPr>
          <w:b/>
          <w:bCs/>
          <w:spacing w:val="10"/>
          <w:sz w:val="20"/>
          <w:szCs w:val="20"/>
        </w:rPr>
        <w:t>.协议的生效和终止</w:t>
      </w:r>
    </w:p>
    <w:p>
      <w:pPr>
        <w:numPr>
          <w:ilvl w:val="0"/>
          <w:numId w:val="15"/>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pPr>
        <w:ind w:firstLine="440" w:firstLineChars="20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、托管机构、甲方制作或保留的相关电子及纸质单据、凭证、记录等相关资料,构成有效证明甲乙双方之间权利义务关系的确定证据，乙方无条件认可电子数据的有效性和证据效力。</w:t>
      </w:r>
    </w:p>
    <w:p>
      <w:pPr>
        <w:numPr>
          <w:ilvl w:val="0"/>
          <w:numId w:val="15"/>
        </w:numPr>
        <w:ind w:firstLine="440" w:firstLineChars="20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pPr>
        <w:numPr>
          <w:ilvl w:val="0"/>
          <w:numId w:val="15"/>
        </w:numPr>
        <w:ind w:firstLine="440" w:firstLineChars="200"/>
        <w:rPr>
          <w:spacing w:val="10"/>
          <w:sz w:val="20"/>
          <w:szCs w:val="20"/>
        </w:rPr>
      </w:pPr>
      <w:r>
        <w:rPr>
          <w:spacing w:val="10"/>
          <w:sz w:val="20"/>
          <w:szCs w:val="20"/>
        </w:rPr>
        <w:t>如乙方购买理财产品后，又变更该笔认/申购的具体内容（包括但不限于交易变更、金额变更、授权指定账户变更、投资者信息变更等），则以双方最近一次交易达成的交易内容为准。</w:t>
      </w:r>
    </w:p>
    <w:p>
      <w:pPr>
        <w:ind w:firstLine="440" w:firstLineChars="200"/>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.乙方声明</w:t>
      </w:r>
    </w:p>
    <w:p>
      <w:pPr>
        <w:ind w:firstLine="440" w:firstLineChars="200"/>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pPr>
        <w:ind w:firstLine="440" w:firstLineChars="200"/>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pPr>
        <w:ind w:firstLine="440" w:firstLineChars="200"/>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pPr>
        <w:ind w:firstLine="440" w:firstLineChars="200"/>
        <w:rPr>
          <w:spacing w:val="10"/>
          <w:sz w:val="20"/>
          <w:szCs w:val="20"/>
        </w:rPr>
      </w:pPr>
    </w:p>
    <w:p>
      <w:pPr>
        <w:ind w:firstLine="440" w:firstLineChars="200"/>
        <w:rPr>
          <w:spacing w:val="10"/>
          <w:sz w:val="20"/>
          <w:szCs w:val="20"/>
        </w:rPr>
      </w:pPr>
    </w:p>
    <w:tbl>
      <w:tblPr>
        <w:tblStyle w:val="1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1"/>
        <w:gridCol w:w="5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41" w:type="dxa"/>
          </w:tcPr>
          <w:p>
            <w:pPr>
              <w:rPr>
                <w:spacing w:val="10"/>
                <w:sz w:val="20"/>
                <w:szCs w:val="20"/>
              </w:rPr>
            </w:pPr>
            <w:r>
              <w:rPr>
                <w:spacing w:val="10"/>
                <w:sz w:val="20"/>
                <w:szCs w:val="20"/>
              </w:rPr>
              <w:t>个人投资者（如适用）：</w:t>
            </w:r>
          </w:p>
        </w:tc>
        <w:tc>
          <w:tcPr>
            <w:tcW w:w="5341" w:type="dxa"/>
          </w:tcPr>
          <w:p>
            <w:pPr>
              <w:rPr>
                <w:spacing w:val="10"/>
                <w:sz w:val="20"/>
                <w:szCs w:val="20"/>
              </w:rPr>
            </w:pPr>
            <w:r>
              <w:rPr>
                <w:spacing w:val="10"/>
                <w:sz w:val="20"/>
                <w:szCs w:val="20"/>
              </w:rPr>
              <w:t>机构投资者（如适用）：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41" w:type="dxa"/>
          </w:tcPr>
          <w:p>
            <w:pPr>
              <w:ind w:firstLine="440" w:firstLineChars="200"/>
              <w:rPr>
                <w:spacing w:val="10"/>
                <w:sz w:val="20"/>
                <w:szCs w:val="20"/>
              </w:rPr>
            </w:pPr>
          </w:p>
          <w:p>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pPr>
              <w:ind w:firstLine="880" w:firstLineChars="400"/>
              <w:rPr>
                <w:spacing w:val="10"/>
                <w:sz w:val="20"/>
                <w:szCs w:val="20"/>
              </w:rPr>
            </w:pPr>
          </w:p>
          <w:p>
            <w:pPr>
              <w:ind w:firstLine="1100" w:firstLineChars="500"/>
              <w:rPr>
                <w:spacing w:val="10"/>
                <w:sz w:val="20"/>
                <w:szCs w:val="20"/>
              </w:rPr>
            </w:pPr>
          </w:p>
          <w:p>
            <w:pPr>
              <w:ind w:firstLine="1100" w:firstLineChars="500"/>
              <w:rPr>
                <w:spacing w:val="10"/>
                <w:sz w:val="20"/>
                <w:szCs w:val="20"/>
              </w:rPr>
            </w:pPr>
            <w:r>
              <w:rPr>
                <w:spacing w:val="10"/>
                <w:sz w:val="20"/>
                <w:szCs w:val="20"/>
              </w:rPr>
              <w:t>年月日</w:t>
            </w:r>
          </w:p>
        </w:tc>
        <w:tc>
          <w:tcPr>
            <w:tcW w:w="5341" w:type="dxa"/>
          </w:tcPr>
          <w:p>
            <w:pPr>
              <w:ind w:firstLine="440" w:firstLineChars="200"/>
              <w:rPr>
                <w:spacing w:val="10"/>
                <w:sz w:val="20"/>
                <w:szCs w:val="20"/>
              </w:rPr>
            </w:pPr>
          </w:p>
          <w:p>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pPr>
              <w:rPr>
                <w:spacing w:val="10"/>
                <w:sz w:val="20"/>
                <w:szCs w:val="20"/>
              </w:rPr>
            </w:pPr>
          </w:p>
          <w:p>
            <w:pPr>
              <w:rPr>
                <w:spacing w:val="10"/>
                <w:sz w:val="20"/>
                <w:szCs w:val="20"/>
              </w:rPr>
            </w:pPr>
          </w:p>
          <w:p>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pPr>
              <w:ind w:firstLine="880" w:firstLineChars="400"/>
              <w:rPr>
                <w:spacing w:val="10"/>
                <w:sz w:val="20"/>
                <w:szCs w:val="20"/>
              </w:rPr>
            </w:pPr>
          </w:p>
          <w:p>
            <w:pPr>
              <w:ind w:firstLine="880" w:firstLineChars="400"/>
              <w:rPr>
                <w:spacing w:val="10"/>
                <w:sz w:val="20"/>
                <w:szCs w:val="20"/>
              </w:rPr>
            </w:pPr>
            <w:r>
              <w:rPr>
                <w:spacing w:val="10"/>
                <w:sz w:val="20"/>
                <w:szCs w:val="20"/>
              </w:rPr>
              <w:t>年月日</w:t>
            </w:r>
          </w:p>
        </w:tc>
      </w:tr>
      <w:bookmarkEnd w:id="31"/>
    </w:tbl>
    <w:p>
      <w:pPr>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jc w:val="center"/>
        <w:rPr>
          <w:rFonts w:ascii="黑体" w:hAnsi="宋体" w:eastAsia="黑体"/>
          <w:b/>
          <w:bCs/>
          <w:sz w:val="24"/>
          <w:szCs w:val="24"/>
        </w:rPr>
      </w:pPr>
      <w:r>
        <w:rPr>
          <w:rFonts w:hint="eastAsia" w:ascii="黑体" w:hAnsi="宋体" w:eastAsia="黑体"/>
          <w:b/>
          <w:bCs/>
          <w:sz w:val="24"/>
          <w:szCs w:val="24"/>
        </w:rPr>
        <w:t>投资者权益须知</w:t>
      </w:r>
    </w:p>
    <w:p>
      <w:pPr>
        <w:ind w:firstLine="480" w:firstLineChars="200"/>
        <w:jc w:val="center"/>
        <w:rPr>
          <w:rFonts w:ascii="宋体" w:hAnsi="宋体"/>
          <w:b/>
          <w:i/>
          <w:sz w:val="24"/>
          <w:szCs w:val="24"/>
          <w:u w:val="single"/>
        </w:rPr>
      </w:pPr>
    </w:p>
    <w:p>
      <w:pPr>
        <w:ind w:firstLine="480" w:firstLineChars="200"/>
        <w:jc w:val="center"/>
        <w:rPr>
          <w:rFonts w:ascii="宋体" w:hAnsi="宋体"/>
          <w:b/>
          <w:i/>
          <w:sz w:val="24"/>
          <w:szCs w:val="24"/>
          <w:u w:val="single"/>
        </w:rPr>
      </w:pPr>
      <w:r>
        <w:rPr>
          <w:rFonts w:hint="eastAsia" w:ascii="宋体" w:hAnsi="宋体"/>
          <w:b/>
          <w:i/>
          <w:sz w:val="24"/>
          <w:szCs w:val="24"/>
          <w:u w:val="single"/>
        </w:rPr>
        <w:t xml:space="preserve">“理财非存款、产品有风险、理财产品过往业绩不代表其未来表现，不等于理财产品实际收益，投资须谨慎！” </w:t>
      </w:r>
    </w:p>
    <w:p>
      <w:pPr>
        <w:pStyle w:val="14"/>
        <w:spacing w:before="0" w:after="0" w:line="240" w:lineRule="auto"/>
        <w:ind w:firstLine="0"/>
        <w:rPr>
          <w:spacing w:val="10"/>
          <w:kern w:val="2"/>
        </w:rPr>
      </w:pPr>
      <w:r>
        <w:rPr>
          <w:rFonts w:hint="eastAsia"/>
          <w:spacing w:val="10"/>
          <w:kern w:val="2"/>
        </w:rPr>
        <w:t>尊敬的投资者：</w:t>
      </w:r>
    </w:p>
    <w:p>
      <w:pPr>
        <w:pStyle w:val="14"/>
        <w:spacing w:before="0" w:after="0" w:line="240" w:lineRule="auto"/>
        <w:ind w:firstLine="520" w:firstLineChars="200"/>
        <w:jc w:val="both"/>
        <w:rPr>
          <w:spacing w:val="10"/>
          <w:kern w:val="2"/>
        </w:rPr>
      </w:pPr>
      <w:r>
        <w:rPr>
          <w:rFonts w:hint="eastAsia"/>
          <w:spacing w:val="10"/>
          <w:kern w:val="2"/>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pPr>
        <w:pStyle w:val="14"/>
        <w:spacing w:before="0" w:after="0" w:line="240" w:lineRule="auto"/>
        <w:ind w:firstLine="520" w:firstLineChars="200"/>
        <w:jc w:val="both"/>
        <w:rPr>
          <w:spacing w:val="10"/>
          <w:kern w:val="2"/>
        </w:rPr>
      </w:pPr>
      <w:r>
        <w:rPr>
          <w:rFonts w:hint="eastAsia"/>
          <w:spacing w:val="10"/>
          <w:kern w:val="2"/>
        </w:rPr>
        <w:t>本理财产品指由南银理财作为管理人发行，并由</w:t>
      </w:r>
      <w:permStart w:id="0" w:edGrp="everyone"/>
      <w:r>
        <w:rPr>
          <w:rFonts w:hint="eastAsia"/>
          <w:spacing w:val="10"/>
          <w:kern w:val="2"/>
        </w:rPr>
        <w:t xml:space="preserve"> </w:t>
      </w:r>
      <w:r>
        <w:rPr>
          <w:rFonts w:hint="eastAsia"/>
          <w:spacing w:val="10"/>
        </w:rPr>
        <w:t>石嘴山银行股份有限公司</w:t>
      </w:r>
      <w:r>
        <w:rPr>
          <w:rFonts w:hint="eastAsia"/>
          <w:spacing w:val="10"/>
          <w:kern w:val="2"/>
        </w:rPr>
        <w:t xml:space="preserve"> </w:t>
      </w:r>
      <w:permEnd w:id="0"/>
      <w:r>
        <w:rPr>
          <w:rFonts w:hint="eastAsia"/>
          <w:spacing w:val="10"/>
          <w:kern w:val="2"/>
        </w:rPr>
        <w:t>（以下简称“销售机构”）销售的理财产品。</w:t>
      </w:r>
    </w:p>
    <w:p>
      <w:pPr>
        <w:pStyle w:val="14"/>
        <w:spacing w:line="240" w:lineRule="auto"/>
        <w:ind w:left="341" w:firstLine="0"/>
        <w:jc w:val="both"/>
        <w:rPr>
          <w:b/>
          <w:spacing w:val="10"/>
          <w:kern w:val="2"/>
        </w:rPr>
      </w:pPr>
      <w:r>
        <w:rPr>
          <w:rFonts w:hint="eastAsia"/>
          <w:b/>
          <w:spacing w:val="10"/>
          <w:kern w:val="2"/>
        </w:rPr>
        <w:t>第一条 理财产品购买流程说明</w:t>
      </w:r>
    </w:p>
    <w:p>
      <w:pPr>
        <w:pStyle w:val="14"/>
        <w:spacing w:before="0" w:after="0" w:line="240" w:lineRule="auto"/>
        <w:ind w:firstLine="520" w:firstLineChars="200"/>
        <w:jc w:val="both"/>
        <w:rPr>
          <w:bCs/>
          <w:spacing w:val="10"/>
          <w:kern w:val="2"/>
        </w:rPr>
      </w:pPr>
      <w:r>
        <w:rPr>
          <w:rFonts w:hint="eastAsia"/>
          <w:bCs/>
          <w:spacing w:val="10"/>
          <w:kern w:val="2"/>
        </w:rPr>
        <w:t>（一）首次在销售机构购买理财产品的投资者应按销售机构的要求明确授权指定账户，用于本理财产品的理财资金划转及理财收益、到期清算分配资金的分配，提供并确认正确的联系方式。</w:t>
      </w:r>
    </w:p>
    <w:p>
      <w:pPr>
        <w:pStyle w:val="14"/>
        <w:spacing w:before="0" w:after="0" w:line="240" w:lineRule="auto"/>
        <w:ind w:firstLine="517" w:firstLineChars="199"/>
        <w:jc w:val="both"/>
        <w:rPr>
          <w:bCs/>
          <w:spacing w:val="10"/>
          <w:kern w:val="2"/>
        </w:rPr>
      </w:pPr>
      <w:r>
        <w:rPr>
          <w:rFonts w:hint="eastAsia"/>
          <w:bCs/>
          <w:spacing w:val="10"/>
          <w:kern w:val="2"/>
        </w:rPr>
        <w:t>（二）在销售机构购买理财产品的个人投资者应按销售机构的要求进行投资者风险承受能力评估，并确认风险承受能力等级不低于本理财产品风险等级。</w:t>
      </w:r>
    </w:p>
    <w:p>
      <w:pPr>
        <w:pStyle w:val="14"/>
        <w:spacing w:before="0" w:after="0" w:line="240" w:lineRule="auto"/>
        <w:ind w:firstLine="517" w:firstLineChars="199"/>
        <w:jc w:val="both"/>
        <w:rPr>
          <w:bCs/>
          <w:spacing w:val="10"/>
          <w:kern w:val="2"/>
        </w:rPr>
      </w:pPr>
      <w:r>
        <w:rPr>
          <w:rFonts w:hint="eastAsia"/>
          <w:bCs/>
          <w:spacing w:val="10"/>
          <w:kern w:val="2"/>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kern w:val="2"/>
        </w:rPr>
        <w:t>理财产品投资协议书》</w:t>
      </w:r>
      <w:r>
        <w:rPr>
          <w:rFonts w:hint="eastAsia"/>
          <w:bCs/>
          <w:spacing w:val="10"/>
          <w:kern w:val="2"/>
        </w:rPr>
        <w:t>等，理解并确认理财产品条款及产品风险。</w:t>
      </w:r>
    </w:p>
    <w:p>
      <w:pPr>
        <w:pStyle w:val="14"/>
        <w:spacing w:before="0" w:after="0" w:line="240" w:lineRule="auto"/>
        <w:ind w:firstLine="480"/>
        <w:jc w:val="both"/>
        <w:rPr>
          <w:bCs/>
          <w:spacing w:val="10"/>
          <w:kern w:val="2"/>
        </w:rPr>
      </w:pPr>
      <w:r>
        <w:rPr>
          <w:rFonts w:hint="eastAsia"/>
          <w:bCs/>
          <w:spacing w:val="10"/>
          <w:kern w:val="2"/>
        </w:rPr>
        <w:t>投资者在销售机构提供的渠道自主决定是否购买理财产品，确定购买金额，完成交易申请，并在确认份额后进行查询。</w:t>
      </w:r>
    </w:p>
    <w:p>
      <w:pPr>
        <w:pStyle w:val="14"/>
        <w:spacing w:before="0" w:after="0" w:line="240" w:lineRule="auto"/>
        <w:ind w:firstLine="480"/>
        <w:jc w:val="both"/>
        <w:rPr>
          <w:bCs/>
          <w:spacing w:val="10"/>
          <w:kern w:val="2"/>
        </w:rPr>
      </w:pPr>
      <w:permStart w:id="1" w:edGrp="everyone"/>
      <w:r>
        <w:rPr>
          <w:rFonts w:hint="eastAsia"/>
          <w:bCs/>
          <w:spacing w:val="10"/>
          <w:kern w:val="2"/>
        </w:rPr>
        <w:t>通过代销机构购买理财产品的具体流程说明：</w:t>
      </w:r>
    </w:p>
    <w:p>
      <w:pPr>
        <w:pStyle w:val="14"/>
        <w:spacing w:before="0" w:after="0" w:line="240" w:lineRule="auto"/>
        <w:ind w:firstLine="520" w:firstLineChars="200"/>
        <w:jc w:val="both"/>
        <w:rPr>
          <w:bCs/>
          <w:spacing w:val="10"/>
          <w:kern w:val="2"/>
        </w:rPr>
      </w:pPr>
      <w:r>
        <w:rPr>
          <w:bCs/>
          <w:spacing w:val="10"/>
          <w:kern w:val="2"/>
        </w:rPr>
        <w:t>1</w:t>
      </w:r>
      <w:r>
        <w:rPr>
          <w:rFonts w:hint="eastAsia"/>
          <w:bCs/>
          <w:spacing w:val="10"/>
          <w:kern w:val="2"/>
        </w:rPr>
        <w:t>、理财签约</w:t>
      </w:r>
    </w:p>
    <w:p>
      <w:pPr>
        <w:pStyle w:val="14"/>
        <w:spacing w:before="0" w:after="0" w:line="240" w:lineRule="auto"/>
        <w:ind w:firstLine="520" w:firstLineChars="200"/>
        <w:jc w:val="both"/>
        <w:rPr>
          <w:bCs/>
          <w:spacing w:val="10"/>
          <w:kern w:val="2"/>
        </w:rPr>
      </w:pPr>
      <w:r>
        <w:rPr>
          <w:rFonts w:hint="eastAsia"/>
          <w:bCs/>
          <w:spacing w:val="10"/>
          <w:kern w:val="2"/>
        </w:rPr>
        <w:t>首次购买理财的投资者须进行风险承受能力评估（详见第二条）和理财签约。</w:t>
      </w:r>
    </w:p>
    <w:p>
      <w:pPr>
        <w:pStyle w:val="14"/>
        <w:spacing w:before="0" w:after="0" w:line="240" w:lineRule="auto"/>
        <w:ind w:firstLine="520" w:firstLineChars="200"/>
        <w:jc w:val="both"/>
        <w:rPr>
          <w:bCs/>
          <w:spacing w:val="10"/>
          <w:kern w:val="2"/>
        </w:rPr>
      </w:pPr>
      <w:r>
        <w:rPr>
          <w:bCs/>
          <w:spacing w:val="10"/>
          <w:kern w:val="2"/>
        </w:rPr>
        <w:t>2</w:t>
      </w:r>
      <w:r>
        <w:rPr>
          <w:rFonts w:hint="eastAsia"/>
          <w:bCs/>
          <w:spacing w:val="10"/>
          <w:kern w:val="2"/>
        </w:rPr>
        <w:t>、理财产品认</w:t>
      </w:r>
      <w:r>
        <w:rPr>
          <w:bCs/>
          <w:spacing w:val="10"/>
          <w:kern w:val="2"/>
        </w:rPr>
        <w:t>/</w:t>
      </w:r>
      <w:r>
        <w:rPr>
          <w:rFonts w:hint="eastAsia"/>
          <w:bCs/>
          <w:spacing w:val="10"/>
          <w:kern w:val="2"/>
        </w:rPr>
        <w:t>申购申请</w:t>
      </w:r>
    </w:p>
    <w:p>
      <w:pPr>
        <w:pStyle w:val="14"/>
        <w:spacing w:before="0" w:after="0" w:line="240" w:lineRule="auto"/>
        <w:ind w:firstLine="520" w:firstLineChars="200"/>
        <w:jc w:val="both"/>
        <w:rPr>
          <w:bCs/>
          <w:spacing w:val="10"/>
          <w:kern w:val="2"/>
        </w:rPr>
      </w:pPr>
      <w:r>
        <w:rPr>
          <w:rFonts w:hint="eastAsia"/>
          <w:bCs/>
          <w:spacing w:val="10"/>
          <w:kern w:val="2"/>
        </w:rPr>
        <w:t>投资者自主决定是否购买理财产品。在理财产品募集期</w:t>
      </w:r>
      <w:r>
        <w:rPr>
          <w:bCs/>
          <w:spacing w:val="10"/>
          <w:kern w:val="2"/>
        </w:rPr>
        <w:t>/</w:t>
      </w:r>
      <w:r>
        <w:rPr>
          <w:rFonts w:hint="eastAsia"/>
          <w:bCs/>
          <w:spacing w:val="10"/>
          <w:kern w:val="2"/>
        </w:rPr>
        <w:t>开放期销售时段内，投资者需通过常熟农商银行下属各营业网点和电子渠道（包括但不限于手机银行等渠道）购买。投资者需通过相关渠道仔细阅读理财产品销售文件，根据认购</w:t>
      </w:r>
      <w:r>
        <w:rPr>
          <w:bCs/>
          <w:spacing w:val="10"/>
          <w:kern w:val="2"/>
        </w:rPr>
        <w:t>/</w:t>
      </w:r>
      <w:r>
        <w:rPr>
          <w:rFonts w:hint="eastAsia"/>
          <w:bCs/>
          <w:spacing w:val="10"/>
          <w:kern w:val="2"/>
        </w:rPr>
        <w:t>申购流程逐项点击确认进行购买，认</w:t>
      </w:r>
      <w:r>
        <w:rPr>
          <w:bCs/>
          <w:spacing w:val="10"/>
          <w:kern w:val="2"/>
        </w:rPr>
        <w:t>/</w:t>
      </w:r>
      <w:r>
        <w:rPr>
          <w:rFonts w:hint="eastAsia"/>
          <w:bCs/>
          <w:spacing w:val="10"/>
          <w:kern w:val="2"/>
        </w:rPr>
        <w:t>申购结果以在该等渠道的查询结果为准。</w:t>
      </w:r>
    </w:p>
    <w:p>
      <w:pPr>
        <w:pStyle w:val="14"/>
        <w:spacing w:before="0" w:after="0" w:line="240" w:lineRule="auto"/>
        <w:ind w:firstLine="520" w:firstLineChars="200"/>
        <w:jc w:val="both"/>
        <w:rPr>
          <w:bCs/>
          <w:spacing w:val="10"/>
          <w:kern w:val="2"/>
        </w:rPr>
      </w:pPr>
      <w:r>
        <w:rPr>
          <w:bCs/>
          <w:spacing w:val="10"/>
          <w:kern w:val="2"/>
        </w:rPr>
        <w:t>3</w:t>
      </w:r>
      <w:r>
        <w:rPr>
          <w:rFonts w:hint="eastAsia"/>
          <w:bCs/>
          <w:spacing w:val="10"/>
          <w:kern w:val="2"/>
        </w:rPr>
        <w:t>、理财产品认</w:t>
      </w:r>
      <w:r>
        <w:rPr>
          <w:bCs/>
          <w:spacing w:val="10"/>
          <w:kern w:val="2"/>
        </w:rPr>
        <w:t>/</w:t>
      </w:r>
      <w:r>
        <w:rPr>
          <w:rFonts w:hint="eastAsia"/>
          <w:bCs/>
          <w:spacing w:val="10"/>
          <w:kern w:val="2"/>
        </w:rPr>
        <w:t>申购申请撤销。投资者在理财产品认购期</w:t>
      </w:r>
      <w:r>
        <w:rPr>
          <w:bCs/>
          <w:spacing w:val="10"/>
          <w:kern w:val="2"/>
        </w:rPr>
        <w:t>/</w:t>
      </w:r>
      <w:r>
        <w:rPr>
          <w:rFonts w:hint="eastAsia"/>
          <w:bCs/>
          <w:spacing w:val="10"/>
          <w:kern w:val="2"/>
        </w:rPr>
        <w:t>募集期</w:t>
      </w:r>
      <w:r>
        <w:rPr>
          <w:bCs/>
          <w:spacing w:val="10"/>
          <w:kern w:val="2"/>
        </w:rPr>
        <w:t>/</w:t>
      </w:r>
      <w:r>
        <w:rPr>
          <w:rFonts w:hint="eastAsia"/>
          <w:bCs/>
          <w:spacing w:val="10"/>
          <w:kern w:val="2"/>
        </w:rPr>
        <w:t>开放期</w:t>
      </w:r>
      <w:r>
        <w:rPr>
          <w:bCs/>
          <w:spacing w:val="10"/>
          <w:kern w:val="2"/>
        </w:rPr>
        <w:t>/</w:t>
      </w:r>
      <w:r>
        <w:rPr>
          <w:rFonts w:hint="eastAsia"/>
          <w:bCs/>
          <w:spacing w:val="10"/>
          <w:kern w:val="2"/>
        </w:rPr>
        <w:t>投资冷静期（私募产品适用）内，可以撤销理财产品相应的认</w:t>
      </w:r>
      <w:r>
        <w:rPr>
          <w:bCs/>
          <w:spacing w:val="10"/>
          <w:kern w:val="2"/>
        </w:rPr>
        <w:t>/</w:t>
      </w:r>
      <w:r>
        <w:rPr>
          <w:rFonts w:hint="eastAsia"/>
          <w:bCs/>
          <w:spacing w:val="10"/>
          <w:kern w:val="2"/>
        </w:rPr>
        <w:t>申购申请。</w:t>
      </w:r>
    </w:p>
    <w:p>
      <w:pPr>
        <w:pStyle w:val="14"/>
        <w:spacing w:before="0" w:after="0" w:line="240" w:lineRule="auto"/>
        <w:ind w:firstLine="520" w:firstLineChars="200"/>
        <w:jc w:val="both"/>
        <w:rPr>
          <w:bCs/>
          <w:spacing w:val="10"/>
          <w:kern w:val="2"/>
        </w:rPr>
      </w:pPr>
      <w:r>
        <w:rPr>
          <w:bCs/>
          <w:spacing w:val="10"/>
          <w:kern w:val="2"/>
        </w:rPr>
        <w:t>4</w:t>
      </w:r>
      <w:r>
        <w:rPr>
          <w:rFonts w:hint="eastAsia"/>
          <w:bCs/>
          <w:spacing w:val="10"/>
          <w:kern w:val="2"/>
        </w:rPr>
        <w:t>、理财产品提前终止、赎回</w:t>
      </w:r>
      <w:r>
        <w:rPr>
          <w:bCs/>
          <w:spacing w:val="10"/>
          <w:kern w:val="2"/>
        </w:rPr>
        <w:t>/</w:t>
      </w:r>
      <w:r>
        <w:rPr>
          <w:rFonts w:hint="eastAsia"/>
          <w:bCs/>
          <w:spacing w:val="10"/>
          <w:kern w:val="2"/>
        </w:rPr>
        <w:t>到期兑付和税收。</w:t>
      </w:r>
    </w:p>
    <w:p>
      <w:pPr>
        <w:pStyle w:val="14"/>
        <w:spacing w:before="0" w:after="0" w:line="240" w:lineRule="auto"/>
        <w:ind w:firstLine="520" w:firstLineChars="200"/>
        <w:jc w:val="both"/>
        <w:rPr>
          <w:bCs/>
          <w:spacing w:val="10"/>
          <w:kern w:val="2"/>
        </w:rPr>
      </w:pPr>
      <w:r>
        <w:rPr>
          <w:rFonts w:hint="eastAsia"/>
          <w:bCs/>
          <w:spacing w:val="10"/>
          <w:kern w:val="2"/>
        </w:rPr>
        <w:t>提前终止：当理财产品发生全部提前终止时，南银理财和代销机构应当按照对应期次理财产品销售文件约定的方式向投资者告知相应理财产品的提前终止事宜。</w:t>
      </w:r>
    </w:p>
    <w:p>
      <w:pPr>
        <w:pStyle w:val="14"/>
        <w:spacing w:before="0" w:after="0" w:line="240" w:lineRule="auto"/>
        <w:ind w:firstLine="520" w:firstLineChars="200"/>
        <w:jc w:val="both"/>
        <w:rPr>
          <w:bCs/>
          <w:spacing w:val="10"/>
          <w:kern w:val="2"/>
        </w:rPr>
      </w:pPr>
      <w:r>
        <w:rPr>
          <w:rFonts w:hint="eastAsia"/>
          <w:bCs/>
          <w:spacing w:val="10"/>
          <w:kern w:val="2"/>
        </w:rPr>
        <w:t>赎回</w:t>
      </w:r>
      <w:r>
        <w:rPr>
          <w:bCs/>
          <w:spacing w:val="10"/>
          <w:kern w:val="2"/>
        </w:rPr>
        <w:t>/</w:t>
      </w:r>
      <w:r>
        <w:rPr>
          <w:rFonts w:hint="eastAsia"/>
          <w:bCs/>
          <w:spacing w:val="10"/>
          <w:kern w:val="2"/>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pPr>
        <w:pStyle w:val="14"/>
        <w:spacing w:before="0" w:after="0" w:line="240" w:lineRule="auto"/>
        <w:ind w:firstLine="480"/>
        <w:jc w:val="both"/>
        <w:rPr>
          <w:bCs/>
          <w:spacing w:val="10"/>
          <w:kern w:val="2"/>
        </w:rPr>
      </w:pPr>
      <w:r>
        <w:rPr>
          <w:rFonts w:hint="eastAsia"/>
          <w:bCs/>
          <w:spacing w:val="10"/>
          <w:kern w:val="2"/>
        </w:rPr>
        <w:t>税收：以对应期次的《理财产品说明书》约定的税务处理方式为准，如遇国家政策调整则相应执行最新政策。</w:t>
      </w:r>
    </w:p>
    <w:permEnd w:id="1"/>
    <w:p>
      <w:pPr>
        <w:pStyle w:val="14"/>
        <w:spacing w:before="0" w:after="0" w:line="240" w:lineRule="auto"/>
        <w:ind w:firstLine="520" w:firstLineChars="200"/>
        <w:jc w:val="both"/>
        <w:rPr>
          <w:bCs/>
          <w:spacing w:val="10"/>
          <w:kern w:val="2"/>
        </w:rPr>
      </w:pPr>
      <w:r>
        <w:rPr>
          <w:rFonts w:hint="eastAsia"/>
          <w:b/>
          <w:spacing w:val="10"/>
          <w:kern w:val="2"/>
        </w:rPr>
        <w:t>第二条</w:t>
      </w:r>
      <w:r>
        <w:rPr>
          <w:b/>
          <w:spacing w:val="10"/>
          <w:kern w:val="2"/>
        </w:rPr>
        <w:t xml:space="preserve"> </w:t>
      </w:r>
      <w:r>
        <w:rPr>
          <w:rFonts w:hint="eastAsia"/>
          <w:b/>
          <w:spacing w:val="10"/>
          <w:kern w:val="2"/>
        </w:rPr>
        <w:t>投资者风险承受能力评估流程说明</w:t>
      </w:r>
    </w:p>
    <w:p>
      <w:pPr>
        <w:pStyle w:val="14"/>
        <w:spacing w:before="0" w:after="0" w:line="240" w:lineRule="auto"/>
        <w:ind w:firstLine="478"/>
        <w:jc w:val="both"/>
        <w:rPr>
          <w:b/>
          <w:spacing w:val="10"/>
          <w:kern w:val="2"/>
        </w:rPr>
      </w:pPr>
      <w:r>
        <w:rPr>
          <w:rFonts w:hint="eastAsia"/>
          <w:b/>
          <w:spacing w:val="10"/>
          <w:kern w:val="2"/>
        </w:rPr>
        <w:t>（一）个人投资者风险承受能力评估流程说明</w:t>
      </w:r>
    </w:p>
    <w:p>
      <w:pPr>
        <w:pStyle w:val="14"/>
        <w:spacing w:before="0" w:after="0" w:line="240" w:lineRule="auto"/>
        <w:ind w:firstLine="338"/>
        <w:jc w:val="both"/>
        <w:rPr>
          <w:bCs/>
          <w:spacing w:val="10"/>
          <w:kern w:val="2"/>
        </w:rPr>
      </w:pPr>
      <w:r>
        <w:rPr>
          <w:bCs/>
          <w:spacing w:val="10"/>
          <w:kern w:val="2"/>
        </w:rPr>
        <w:t>1</w:t>
      </w:r>
      <w:r>
        <w:rPr>
          <w:rFonts w:hint="eastAsia"/>
          <w:bCs/>
          <w:spacing w:val="10"/>
          <w:kern w:val="2"/>
        </w:rPr>
        <w:t>.个人投资者首次通过销售机构购买理财产品时应根据销售机构的要求进行风险承受能力评估。</w:t>
      </w:r>
    </w:p>
    <w:p>
      <w:pPr>
        <w:pStyle w:val="14"/>
        <w:spacing w:before="0" w:after="0" w:line="240" w:lineRule="auto"/>
        <w:ind w:firstLine="338"/>
        <w:jc w:val="both"/>
        <w:rPr>
          <w:bCs/>
          <w:spacing w:val="10"/>
          <w:kern w:val="2"/>
        </w:rPr>
      </w:pPr>
      <w:r>
        <w:rPr>
          <w:bCs/>
          <w:spacing w:val="10"/>
          <w:kern w:val="2"/>
        </w:rPr>
        <w:t>2</w:t>
      </w:r>
      <w:r>
        <w:rPr>
          <w:rFonts w:hint="eastAsia"/>
          <w:bCs/>
          <w:spacing w:val="10"/>
          <w:kern w:val="2"/>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pPr>
        <w:pStyle w:val="14"/>
        <w:spacing w:before="0" w:after="0" w:line="240" w:lineRule="auto"/>
        <w:ind w:firstLine="338"/>
        <w:jc w:val="both"/>
        <w:rPr>
          <w:bCs/>
          <w:spacing w:val="10"/>
          <w:kern w:val="2"/>
        </w:rPr>
      </w:pPr>
      <w:r>
        <w:rPr>
          <w:bCs/>
          <w:spacing w:val="10"/>
          <w:kern w:val="2"/>
        </w:rPr>
        <w:t>3</w:t>
      </w:r>
      <w:r>
        <w:rPr>
          <w:rFonts w:hint="eastAsia"/>
          <w:bCs/>
          <w:spacing w:val="10"/>
          <w:kern w:val="2"/>
        </w:rPr>
        <w:t>.个人投资者风险承受能力评估流程</w:t>
      </w:r>
    </w:p>
    <w:p>
      <w:pPr>
        <w:pStyle w:val="14"/>
        <w:spacing w:before="0" w:after="0" w:line="240" w:lineRule="auto"/>
        <w:ind w:firstLine="338"/>
        <w:jc w:val="both"/>
        <w:rPr>
          <w:bCs/>
          <w:spacing w:val="10"/>
          <w:kern w:val="2"/>
        </w:rPr>
      </w:pPr>
      <w:r>
        <w:rPr>
          <w:rFonts w:hint="eastAsia"/>
          <w:bCs/>
          <w:spacing w:val="10"/>
          <w:kern w:val="2"/>
        </w:rPr>
        <w:t>（</w:t>
      </w:r>
      <w:r>
        <w:rPr>
          <w:bCs/>
          <w:spacing w:val="10"/>
          <w:kern w:val="2"/>
        </w:rPr>
        <w:t>1</w:t>
      </w:r>
      <w:r>
        <w:rPr>
          <w:rFonts w:hint="eastAsia"/>
          <w:bCs/>
          <w:spacing w:val="10"/>
          <w:kern w:val="2"/>
        </w:rPr>
        <w:t>）个人投资者在销售机构进行风险承受能力评估；</w:t>
      </w:r>
    </w:p>
    <w:p>
      <w:pPr>
        <w:pStyle w:val="14"/>
        <w:spacing w:before="0" w:after="0" w:line="240" w:lineRule="auto"/>
        <w:ind w:firstLine="338"/>
        <w:jc w:val="both"/>
        <w:rPr>
          <w:bCs/>
          <w:spacing w:val="10"/>
          <w:kern w:val="2"/>
        </w:rPr>
      </w:pPr>
      <w:r>
        <w:rPr>
          <w:rFonts w:hint="eastAsia"/>
          <w:bCs/>
          <w:spacing w:val="10"/>
          <w:kern w:val="2"/>
        </w:rPr>
        <w:t>（</w:t>
      </w:r>
      <w:r>
        <w:rPr>
          <w:bCs/>
          <w:spacing w:val="10"/>
          <w:kern w:val="2"/>
        </w:rPr>
        <w:t>2</w:t>
      </w:r>
      <w:r>
        <w:rPr>
          <w:rFonts w:hint="eastAsia"/>
          <w:bCs/>
          <w:spacing w:val="10"/>
          <w:kern w:val="2"/>
        </w:rPr>
        <w:t>）填写销售机构个人投资者风险承受能力测试问卷；</w:t>
      </w:r>
    </w:p>
    <w:p>
      <w:pPr>
        <w:pStyle w:val="14"/>
        <w:spacing w:before="0" w:after="0" w:line="240" w:lineRule="auto"/>
        <w:ind w:firstLine="338"/>
        <w:jc w:val="both"/>
        <w:rPr>
          <w:bCs/>
          <w:spacing w:val="10"/>
          <w:kern w:val="2"/>
        </w:rPr>
      </w:pPr>
      <w:r>
        <w:rPr>
          <w:rFonts w:hint="eastAsia"/>
          <w:bCs/>
          <w:spacing w:val="10"/>
          <w:kern w:val="2"/>
        </w:rPr>
        <w:t>（</w:t>
      </w:r>
      <w:r>
        <w:rPr>
          <w:bCs/>
          <w:spacing w:val="10"/>
          <w:kern w:val="2"/>
        </w:rPr>
        <w:t>3</w:t>
      </w:r>
      <w:r>
        <w:rPr>
          <w:rFonts w:hint="eastAsia"/>
          <w:bCs/>
          <w:spacing w:val="10"/>
          <w:kern w:val="2"/>
        </w:rPr>
        <w:t>）生成相应的个人投资者风险承受能力评估结果；</w:t>
      </w:r>
    </w:p>
    <w:p>
      <w:pPr>
        <w:pStyle w:val="14"/>
        <w:spacing w:before="0" w:after="0" w:line="240" w:lineRule="auto"/>
        <w:ind w:firstLine="338"/>
        <w:jc w:val="both"/>
        <w:rPr>
          <w:bCs/>
          <w:spacing w:val="10"/>
          <w:kern w:val="2"/>
        </w:rPr>
      </w:pPr>
      <w:r>
        <w:rPr>
          <w:rFonts w:hint="eastAsia"/>
          <w:bCs/>
          <w:spacing w:val="10"/>
          <w:kern w:val="2"/>
        </w:rPr>
        <w:t>（</w:t>
      </w:r>
      <w:r>
        <w:rPr>
          <w:bCs/>
          <w:spacing w:val="10"/>
          <w:kern w:val="2"/>
        </w:rPr>
        <w:t>4</w:t>
      </w:r>
      <w:r>
        <w:rPr>
          <w:rFonts w:hint="eastAsia"/>
          <w:bCs/>
          <w:spacing w:val="10"/>
          <w:kern w:val="2"/>
        </w:rPr>
        <w:t>）投资者对评估结果进行确认。</w:t>
      </w:r>
    </w:p>
    <w:p>
      <w:pPr>
        <w:pStyle w:val="14"/>
        <w:spacing w:before="0" w:after="0" w:line="240" w:lineRule="auto"/>
        <w:ind w:firstLine="478"/>
        <w:jc w:val="both"/>
        <w:rPr>
          <w:bCs/>
          <w:spacing w:val="10"/>
          <w:kern w:val="2"/>
        </w:rPr>
      </w:pPr>
      <w:r>
        <w:rPr>
          <w:rFonts w:hint="eastAsia"/>
          <w:bCs/>
          <w:spacing w:val="10"/>
          <w:kern w:val="2"/>
        </w:rPr>
        <w:t>●特别提示：如个人投资者发生可能影响其自身风险承受能力的情况，再次购买理财产品时应当主动要求销售机构对其进行风险承受能力评估。</w:t>
      </w:r>
    </w:p>
    <w:p>
      <w:pPr>
        <w:pStyle w:val="14"/>
        <w:spacing w:before="0" w:after="0" w:line="240" w:lineRule="auto"/>
        <w:ind w:firstLine="520" w:firstLineChars="200"/>
        <w:jc w:val="both"/>
        <w:rPr>
          <w:spacing w:val="10"/>
          <w:kern w:val="2"/>
        </w:rPr>
      </w:pPr>
      <w:r>
        <w:rPr>
          <w:rFonts w:hint="eastAsia"/>
          <w:spacing w:val="10"/>
          <w:kern w:val="2"/>
        </w:rPr>
        <w:t>评级具体含义说明。投资者风险承受能力评估结果的含义如下：</w:t>
      </w:r>
    </w:p>
    <w:p>
      <w:pPr>
        <w:pStyle w:val="14"/>
        <w:spacing w:before="0" w:after="0" w:line="240" w:lineRule="auto"/>
        <w:ind w:firstLine="480" w:firstLineChars="200"/>
        <w:jc w:val="both"/>
        <w:rPr>
          <w:spacing w:val="10"/>
          <w:kern w:val="2"/>
        </w:rPr>
      </w:pPr>
      <w:permStart w:id="2" w:edGrp="everyone"/>
      <w:r>
        <w:rPr>
          <w:rFonts w:hint="eastAsia" w:ascii="宋体" w:hAnsi="宋体" w:cs="宋体"/>
          <w:color w:val="333333"/>
        </w:rPr>
        <w:t>一级，保守型客户：指适合购买或使用保本或价值波动小的金融产品或服务，承担低风险而作风保守类型的金融消费者</w:t>
      </w:r>
      <w:r>
        <w:rPr>
          <w:rFonts w:hint="eastAsia"/>
          <w:spacing w:val="10"/>
          <w:kern w:val="2"/>
        </w:rPr>
        <w:t>。</w:t>
      </w:r>
    </w:p>
    <w:p>
      <w:pPr>
        <w:pStyle w:val="14"/>
        <w:spacing w:before="0" w:after="0" w:line="240" w:lineRule="auto"/>
        <w:ind w:firstLine="480" w:firstLineChars="200"/>
        <w:jc w:val="both"/>
        <w:rPr>
          <w:spacing w:val="10"/>
          <w:kern w:val="2"/>
        </w:rPr>
      </w:pPr>
      <w:r>
        <w:rPr>
          <w:rFonts w:hint="eastAsia" w:ascii="宋体" w:hAnsi="宋体" w:cs="宋体"/>
          <w:color w:val="333333"/>
        </w:rPr>
        <w:t>二级，谨慎型客户：指适合购买或使用价值温和波动的金融产品或服务，承担低至中等风险类型的金融消费者</w:t>
      </w:r>
      <w:r>
        <w:rPr>
          <w:rFonts w:hint="eastAsia"/>
          <w:spacing w:val="10"/>
          <w:kern w:val="2"/>
        </w:rPr>
        <w:t>。</w:t>
      </w:r>
    </w:p>
    <w:p>
      <w:pPr>
        <w:pStyle w:val="14"/>
        <w:spacing w:before="0" w:after="0" w:line="240" w:lineRule="auto"/>
        <w:ind w:firstLine="480" w:firstLineChars="200"/>
        <w:jc w:val="both"/>
        <w:rPr>
          <w:spacing w:val="10"/>
          <w:kern w:val="2"/>
        </w:rPr>
      </w:pPr>
      <w:r>
        <w:rPr>
          <w:rFonts w:hint="eastAsia" w:ascii="宋体" w:hAnsi="宋体" w:cs="宋体"/>
          <w:color w:val="333333"/>
        </w:rPr>
        <w:t>三级，稳健型客户：指适合购买或使用有价值波动的金融产品或服务，承担中等风险类型的金融消费者</w:t>
      </w:r>
      <w:r>
        <w:rPr>
          <w:rFonts w:hint="eastAsia"/>
          <w:spacing w:val="10"/>
          <w:kern w:val="2"/>
        </w:rPr>
        <w:t>。</w:t>
      </w:r>
    </w:p>
    <w:p>
      <w:pPr>
        <w:pStyle w:val="14"/>
        <w:spacing w:before="0" w:after="0" w:line="240" w:lineRule="auto"/>
        <w:ind w:firstLine="480" w:firstLineChars="200"/>
        <w:jc w:val="both"/>
        <w:rPr>
          <w:spacing w:val="10"/>
          <w:kern w:val="2"/>
        </w:rPr>
      </w:pPr>
      <w:r>
        <w:rPr>
          <w:rFonts w:hint="eastAsia" w:ascii="宋体" w:hAnsi="宋体" w:cs="宋体"/>
          <w:color w:val="333333"/>
        </w:rPr>
        <w:t>四级，进取型客户：指适合购买或使用价值波动较大的金融产品或服务，承担中等至高风险类型的金融消费者</w:t>
      </w:r>
      <w:r>
        <w:rPr>
          <w:rFonts w:hint="eastAsia"/>
          <w:spacing w:val="10"/>
          <w:kern w:val="2"/>
        </w:rPr>
        <w:t>。</w:t>
      </w:r>
    </w:p>
    <w:p>
      <w:pPr>
        <w:pStyle w:val="14"/>
        <w:spacing w:before="0" w:after="0" w:line="240" w:lineRule="auto"/>
        <w:ind w:firstLine="480" w:firstLineChars="200"/>
        <w:jc w:val="both"/>
        <w:rPr>
          <w:spacing w:val="10"/>
          <w:kern w:val="2"/>
        </w:rPr>
      </w:pPr>
      <w:r>
        <w:rPr>
          <w:rFonts w:hint="eastAsia" w:ascii="宋体" w:hAnsi="宋体" w:cs="宋体"/>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kern w:val="2"/>
        </w:rPr>
        <w:t>。</w:t>
      </w:r>
    </w:p>
    <w:permEnd w:id="2"/>
    <w:p>
      <w:pPr>
        <w:pStyle w:val="14"/>
        <w:spacing w:before="0" w:after="0" w:line="240" w:lineRule="auto"/>
        <w:ind w:firstLine="520" w:firstLineChars="200"/>
        <w:jc w:val="both"/>
        <w:rPr>
          <w:b/>
          <w:spacing w:val="10"/>
          <w:kern w:val="2"/>
        </w:rPr>
      </w:pPr>
      <w:r>
        <w:rPr>
          <w:rFonts w:hint="eastAsia"/>
          <w:b/>
          <w:spacing w:val="10"/>
          <w:kern w:val="2"/>
        </w:rPr>
        <w:t>（二）机构投资者风险承受能力评估流程说明</w:t>
      </w:r>
    </w:p>
    <w:p>
      <w:pPr>
        <w:pStyle w:val="14"/>
        <w:spacing w:before="0" w:after="0" w:line="240" w:lineRule="auto"/>
        <w:ind w:firstLine="478"/>
        <w:jc w:val="both"/>
        <w:rPr>
          <w:bCs/>
          <w:spacing w:val="10"/>
          <w:kern w:val="2"/>
        </w:rPr>
      </w:pPr>
      <w:r>
        <w:rPr>
          <w:rFonts w:hint="eastAsia"/>
          <w:bCs/>
          <w:spacing w:val="10"/>
          <w:kern w:val="2"/>
        </w:rPr>
        <w:t>机构投资者请根据自身的财务状况、投资经验、投资目标、风险认知、风险判断及其他因素综合考量理财产品的投资风险及自身的风险承受能力。</w:t>
      </w:r>
    </w:p>
    <w:p>
      <w:pPr>
        <w:pStyle w:val="14"/>
        <w:spacing w:before="0" w:after="0" w:line="240" w:lineRule="auto"/>
        <w:ind w:firstLine="478"/>
        <w:jc w:val="both"/>
        <w:rPr>
          <w:bCs/>
          <w:spacing w:val="10"/>
          <w:kern w:val="2"/>
        </w:rPr>
      </w:pPr>
      <w:r>
        <w:rPr>
          <w:rFonts w:hint="eastAsia"/>
          <w:b/>
          <w:spacing w:val="10"/>
          <w:kern w:val="2"/>
        </w:rPr>
        <w:t>第三条</w:t>
      </w:r>
      <w:r>
        <w:rPr>
          <w:b/>
          <w:spacing w:val="10"/>
          <w:kern w:val="2"/>
        </w:rPr>
        <w:t xml:space="preserve"> </w:t>
      </w:r>
      <w:r>
        <w:rPr>
          <w:rFonts w:hint="eastAsia"/>
          <w:b/>
          <w:spacing w:val="10"/>
          <w:kern w:val="2"/>
        </w:rPr>
        <w:t>理财产品风险等级说明</w:t>
      </w:r>
    </w:p>
    <w:p>
      <w:pPr>
        <w:pStyle w:val="14"/>
        <w:spacing w:before="0" w:after="0" w:line="240" w:lineRule="auto"/>
        <w:ind w:firstLine="517" w:firstLineChars="199"/>
        <w:jc w:val="both"/>
        <w:rPr>
          <w:spacing w:val="10"/>
          <w:kern w:val="2"/>
        </w:rPr>
      </w:pPr>
      <w:r>
        <w:rPr>
          <w:rFonts w:hint="eastAsia"/>
          <w:spacing w:val="10"/>
          <w:kern w:val="2"/>
        </w:rPr>
        <w:t>由于理财产品的运行方式和投资范围等不同，其承担的风险程度各有不同，南银理财将其风险等级分为五级，分别为：PR1级（低风险）、PR2级（中低风险）、PR3级（中等风险）、</w:t>
      </w:r>
      <w:r>
        <w:rPr>
          <w:spacing w:val="10"/>
          <w:kern w:val="2"/>
        </w:rPr>
        <w:t>PR4</w:t>
      </w:r>
      <w:r>
        <w:rPr>
          <w:rFonts w:hint="eastAsia"/>
          <w:spacing w:val="10"/>
          <w:kern w:val="2"/>
        </w:rPr>
        <w:t>级（中高风险）、</w:t>
      </w:r>
      <w:r>
        <w:rPr>
          <w:spacing w:val="10"/>
          <w:kern w:val="2"/>
        </w:rPr>
        <w:t>PR5</w:t>
      </w:r>
      <w:r>
        <w:rPr>
          <w:rFonts w:hint="eastAsia"/>
          <w:spacing w:val="10"/>
          <w:kern w:val="2"/>
        </w:rPr>
        <w:t>级（高风险）。</w:t>
      </w:r>
    </w:p>
    <w:p>
      <w:pPr>
        <w:pStyle w:val="14"/>
        <w:spacing w:before="0" w:after="0" w:line="240" w:lineRule="auto"/>
        <w:ind w:firstLine="517" w:firstLineChars="199"/>
        <w:jc w:val="both"/>
        <w:rPr>
          <w:spacing w:val="10"/>
          <w:kern w:val="2"/>
        </w:rPr>
      </w:pPr>
      <w:r>
        <w:rPr>
          <w:spacing w:val="10"/>
          <w:kern w:val="2"/>
        </w:rPr>
        <w:t>PR1</w:t>
      </w:r>
      <w:r>
        <w:rPr>
          <w:rFonts w:hint="eastAsia"/>
          <w:spacing w:val="10"/>
          <w:kern w:val="2"/>
        </w:rPr>
        <w:t>级（低风险）：管理人不承诺本金保障，产品收益随投资表现变动，产品存在极低的本金损失风险。</w:t>
      </w:r>
    </w:p>
    <w:p>
      <w:pPr>
        <w:pStyle w:val="14"/>
        <w:spacing w:before="0" w:after="0" w:line="240" w:lineRule="auto"/>
        <w:ind w:firstLine="517" w:firstLineChars="199"/>
        <w:jc w:val="both"/>
        <w:rPr>
          <w:spacing w:val="10"/>
          <w:kern w:val="2"/>
        </w:rPr>
      </w:pPr>
      <w:r>
        <w:rPr>
          <w:spacing w:val="10"/>
          <w:kern w:val="2"/>
        </w:rPr>
        <w:t>PR2</w:t>
      </w:r>
      <w:r>
        <w:rPr>
          <w:rFonts w:hint="eastAsia"/>
          <w:spacing w:val="10"/>
          <w:kern w:val="2"/>
        </w:rPr>
        <w:t>级（中低风险）：管理人不承诺本金保障，产品收益随投资表现变动，产品存在较低的本金损失风险。</w:t>
      </w:r>
    </w:p>
    <w:p>
      <w:pPr>
        <w:pStyle w:val="14"/>
        <w:spacing w:before="0" w:after="0" w:line="240" w:lineRule="auto"/>
        <w:ind w:firstLine="517" w:firstLineChars="199"/>
        <w:jc w:val="both"/>
        <w:rPr>
          <w:spacing w:val="10"/>
          <w:kern w:val="2"/>
        </w:rPr>
      </w:pPr>
      <w:r>
        <w:rPr>
          <w:spacing w:val="10"/>
          <w:kern w:val="2"/>
        </w:rPr>
        <w:t>PR3</w:t>
      </w:r>
      <w:r>
        <w:rPr>
          <w:rFonts w:hint="eastAsia"/>
          <w:spacing w:val="10"/>
          <w:kern w:val="2"/>
        </w:rPr>
        <w:t>级（中等风险）：管理人不承诺本金保障，产品收益随投资表现变动，产品存在一定的本金损失风险。</w:t>
      </w:r>
    </w:p>
    <w:p>
      <w:pPr>
        <w:pStyle w:val="14"/>
        <w:spacing w:before="0" w:after="0" w:line="240" w:lineRule="auto"/>
        <w:ind w:firstLine="517" w:firstLineChars="199"/>
        <w:jc w:val="both"/>
        <w:rPr>
          <w:spacing w:val="10"/>
          <w:kern w:val="2"/>
        </w:rPr>
      </w:pPr>
      <w:r>
        <w:rPr>
          <w:spacing w:val="10"/>
          <w:kern w:val="2"/>
        </w:rPr>
        <w:t>PR4</w:t>
      </w:r>
      <w:r>
        <w:rPr>
          <w:rFonts w:hint="eastAsia"/>
          <w:spacing w:val="10"/>
          <w:kern w:val="2"/>
        </w:rPr>
        <w:t>级（中高风险）：管理人不承诺本金保障，产品收益随投资表现变动，产品存在较高的本金损失风险。</w:t>
      </w:r>
    </w:p>
    <w:p>
      <w:pPr>
        <w:pStyle w:val="14"/>
        <w:spacing w:before="0" w:after="0" w:line="240" w:lineRule="auto"/>
        <w:ind w:firstLine="514" w:firstLineChars="198"/>
        <w:jc w:val="both"/>
      </w:pPr>
      <w:r>
        <w:rPr>
          <w:spacing w:val="10"/>
          <w:kern w:val="2"/>
        </w:rPr>
        <w:t>PR5</w:t>
      </w:r>
      <w:r>
        <w:rPr>
          <w:rFonts w:hint="eastAsia"/>
          <w:spacing w:val="10"/>
          <w:kern w:val="2"/>
        </w:rPr>
        <w:t>级（高风险）：管理人不承诺本金保障，产品收益随投资表现变动，产品存在极高的本金损失风险，产品本金蒙受全部损失的可能性不容忽视。</w:t>
      </w:r>
    </w:p>
    <w:p>
      <w:pPr>
        <w:pStyle w:val="14"/>
        <w:spacing w:before="0" w:after="0" w:line="240" w:lineRule="auto"/>
        <w:ind w:firstLine="517" w:firstLineChars="199"/>
        <w:jc w:val="both"/>
        <w:rPr>
          <w:spacing w:val="10"/>
          <w:kern w:val="2"/>
        </w:rPr>
      </w:pPr>
      <w:r>
        <w:rPr>
          <w:rFonts w:hint="eastAsia"/>
          <w:spacing w:val="10"/>
          <w:kern w:val="2"/>
        </w:rPr>
        <w:t>本风险等级为南银理财风险评级结果，该产品通过代理销售机构渠道销售的，理财产品评级应当以代理销售机构最终披露的评级结果为准。您需充分认识投资风险，谨慎投资。</w:t>
      </w:r>
    </w:p>
    <w:p>
      <w:pPr>
        <w:pStyle w:val="14"/>
        <w:spacing w:before="0" w:after="0" w:line="240" w:lineRule="auto"/>
        <w:ind w:firstLine="520" w:firstLineChars="200"/>
        <w:jc w:val="both"/>
      </w:pPr>
      <w:r>
        <w:rPr>
          <w:rFonts w:hint="eastAsia"/>
          <w:b/>
          <w:spacing w:val="10"/>
          <w:kern w:val="2"/>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pPr>
        <w:pStyle w:val="14"/>
        <w:spacing w:before="0" w:after="0" w:line="240" w:lineRule="auto"/>
        <w:ind w:firstLine="515" w:firstLineChars="198"/>
        <w:jc w:val="both"/>
        <w:rPr>
          <w:b/>
          <w:bCs/>
          <w:spacing w:val="10"/>
          <w:kern w:val="2"/>
        </w:rPr>
      </w:pPr>
      <w:r>
        <w:rPr>
          <w:rFonts w:hint="eastAsia"/>
          <w:b/>
          <w:bCs/>
          <w:spacing w:val="10"/>
          <w:kern w:val="2"/>
        </w:rPr>
        <w:t>第四条</w:t>
      </w:r>
      <w:r>
        <w:rPr>
          <w:b/>
          <w:bCs/>
          <w:spacing w:val="10"/>
          <w:kern w:val="2"/>
        </w:rPr>
        <w:t xml:space="preserve"> </w:t>
      </w:r>
      <w:r>
        <w:rPr>
          <w:rFonts w:hint="eastAsia"/>
          <w:b/>
          <w:bCs/>
          <w:spacing w:val="10"/>
          <w:kern w:val="2"/>
        </w:rPr>
        <w:t>个人投资者风险承受能力等级与适合购买的理财产品说明</w:t>
      </w:r>
    </w:p>
    <w:tbl>
      <w:tblPr>
        <w:tblStyle w:val="15"/>
        <w:tblW w:w="0" w:type="auto"/>
        <w:jc w:val="center"/>
        <w:tblLayout w:type="fixed"/>
        <w:tblCellMar>
          <w:top w:w="0" w:type="dxa"/>
          <w:left w:w="108" w:type="dxa"/>
          <w:bottom w:w="0" w:type="dxa"/>
          <w:right w:w="108" w:type="dxa"/>
        </w:tblCellMar>
      </w:tblPr>
      <w:tblGrid>
        <w:gridCol w:w="1866"/>
        <w:gridCol w:w="741"/>
        <w:gridCol w:w="816"/>
        <w:gridCol w:w="816"/>
        <w:gridCol w:w="816"/>
        <w:gridCol w:w="741"/>
      </w:tblGrid>
      <w:tr>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个人投资者风险承受能力</w:t>
            </w:r>
          </w:p>
          <w:p>
            <w:pPr>
              <w:widowControl/>
              <w:snapToGrid w:val="0"/>
              <w:jc w:val="center"/>
              <w:rPr>
                <w:rFonts w:ascii="宋体" w:hAnsi="宋体" w:cs="宋体"/>
                <w:kern w:val="0"/>
                <w:sz w:val="24"/>
                <w:szCs w:val="24"/>
              </w:rPr>
            </w:pPr>
            <w:r>
              <w:rPr>
                <w:rFonts w:hint="eastAsia" w:ascii="宋体" w:hAnsi="宋体" w:cs="宋体"/>
                <w:kern w:val="0"/>
                <w:sz w:val="24"/>
                <w:szCs w:val="24"/>
              </w:rPr>
              <w:t>等级</w:t>
            </w:r>
          </w:p>
        </w:tc>
        <w:tc>
          <w:tcPr>
            <w:tcW w:w="3930" w:type="dxa"/>
            <w:gridSpan w:val="5"/>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南银理财理财产品风险等级</w:t>
            </w:r>
          </w:p>
        </w:tc>
      </w:tr>
      <w:tr>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低风险</w:t>
            </w:r>
            <w:r>
              <w:rPr>
                <w:rFonts w:ascii="宋体" w:hAns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PR1</w:t>
            </w:r>
            <w:r>
              <w:rPr>
                <w:rFonts w:hint="eastAsia" w:ascii="宋体" w:hAnsi="宋体" w:cs="宋体"/>
                <w:kern w:val="0"/>
                <w:sz w:val="24"/>
                <w:szCs w:val="24"/>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中低风险</w:t>
            </w:r>
            <w:r>
              <w:rPr>
                <w:rFonts w:ascii="宋体" w:hAns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PR2</w:t>
            </w:r>
            <w:r>
              <w:rPr>
                <w:rFonts w:hint="eastAsia" w:ascii="宋体" w:hAnsi="宋体" w:cs="宋体"/>
                <w:kern w:val="0"/>
                <w:sz w:val="24"/>
                <w:szCs w:val="24"/>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中等风险</w:t>
            </w:r>
            <w:r>
              <w:rPr>
                <w:rFonts w:ascii="宋体" w:hAns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PR3</w:t>
            </w:r>
            <w:r>
              <w:rPr>
                <w:rFonts w:hint="eastAsia" w:ascii="宋体" w:hAnsi="宋体" w:cs="宋体"/>
                <w:kern w:val="0"/>
                <w:sz w:val="24"/>
                <w:szCs w:val="24"/>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中高风险</w:t>
            </w:r>
            <w:r>
              <w:rPr>
                <w:rFonts w:ascii="宋体" w:hAns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PR4</w:t>
            </w:r>
            <w:r>
              <w:rPr>
                <w:rFonts w:hint="eastAsia" w:ascii="宋体" w:hAnsi="宋体" w:cs="宋体"/>
                <w:kern w:val="0"/>
                <w:sz w:val="24"/>
                <w:szCs w:val="24"/>
              </w:rPr>
              <w:t>）</w:t>
            </w: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高风险</w:t>
            </w:r>
            <w:r>
              <w:rPr>
                <w:rFonts w:ascii="宋体" w:hAns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PR5</w:t>
            </w:r>
            <w:r>
              <w:rPr>
                <w:rFonts w:hint="eastAsia" w:ascii="宋体" w:hAnsi="宋体" w:cs="宋体"/>
                <w:kern w:val="0"/>
                <w:sz w:val="24"/>
                <w:szCs w:val="24"/>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color w:val="333333"/>
                <w:sz w:val="24"/>
                <w:szCs w:val="24"/>
              </w:rPr>
              <w:t>一级，保守型客户</w:t>
            </w:r>
            <w:r>
              <w:rPr>
                <w:rFonts w:hint="eastAsia" w:ascii="宋体" w:hAnsi="宋体" w:cs="宋体"/>
                <w:kern w:val="0"/>
                <w:sz w:val="24"/>
                <w:szCs w:val="24"/>
              </w:rPr>
              <w:t xml:space="preserve"> </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spacing w:val="10"/>
                <w:sz w:val="24"/>
                <w:szCs w:val="24"/>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color w:val="333333"/>
                <w:sz w:val="24"/>
                <w:szCs w:val="24"/>
              </w:rPr>
              <w:t>二级，谨慎型客户</w:t>
            </w:r>
            <w:r>
              <w:rPr>
                <w:rFonts w:hint="eastAsia" w:ascii="宋体" w:hAnsi="宋体" w:cs="宋体"/>
                <w:kern w:val="0"/>
                <w:sz w:val="24"/>
                <w:szCs w:val="24"/>
              </w:rPr>
              <w:t xml:space="preserve"> </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spacing w:val="10"/>
                <w:sz w:val="24"/>
                <w:szCs w:val="24"/>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color w:val="333333"/>
                <w:sz w:val="24"/>
                <w:szCs w:val="24"/>
              </w:rPr>
              <w:t>三级，稳健型客户</w:t>
            </w:r>
            <w:r>
              <w:rPr>
                <w:rFonts w:hint="eastAsia" w:ascii="宋体" w:hAnsi="宋体" w:cs="宋体"/>
                <w:kern w:val="0"/>
                <w:sz w:val="24"/>
                <w:szCs w:val="24"/>
              </w:rPr>
              <w:t xml:space="preserve">   </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r>
      <w:tr>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color w:val="333333"/>
                <w:sz w:val="24"/>
                <w:szCs w:val="24"/>
              </w:rPr>
              <w:t>四级，进取型客户</w:t>
            </w:r>
            <w:r>
              <w:rPr>
                <w:rFonts w:hint="eastAsia" w:ascii="宋体" w:hAnsi="宋体" w:cs="宋体"/>
                <w:kern w:val="0"/>
                <w:sz w:val="24"/>
                <w:szCs w:val="24"/>
              </w:rPr>
              <w:t xml:space="preserve">  </w:t>
            </w:r>
          </w:p>
        </w:tc>
        <w:tc>
          <w:tcPr>
            <w:tcW w:w="741"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r>
      <w:tr>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color w:val="333333"/>
                <w:sz w:val="24"/>
                <w:szCs w:val="24"/>
              </w:rPr>
              <w:t>五级，积极进取型客户</w:t>
            </w:r>
            <w:r>
              <w:rPr>
                <w:rFonts w:hint="eastAsia" w:ascii="宋体" w:hAnsi="宋体" w:cs="宋体"/>
                <w:kern w:val="0"/>
                <w:sz w:val="24"/>
                <w:szCs w:val="24"/>
              </w:rPr>
              <w:t xml:space="preserve">   </w:t>
            </w:r>
          </w:p>
        </w:tc>
        <w:tc>
          <w:tcPr>
            <w:tcW w:w="741"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cs="宋体"/>
                <w:kern w:val="0"/>
                <w:sz w:val="24"/>
                <w:szCs w:val="24"/>
              </w:rPr>
            </w:pPr>
            <w:r>
              <w:rPr>
                <w:rFonts w:hint="eastAsia"/>
                <w:spacing w:val="10"/>
                <w:sz w:val="24"/>
                <w:szCs w:val="24"/>
              </w:rPr>
              <w:t>√</w:t>
            </w:r>
          </w:p>
        </w:tc>
      </w:tr>
    </w:tbl>
    <w:p>
      <w:pPr>
        <w:pStyle w:val="14"/>
        <w:spacing w:before="0" w:after="0" w:line="240" w:lineRule="auto"/>
        <w:ind w:firstLine="520" w:firstLineChars="200"/>
        <w:jc w:val="center"/>
        <w:rPr>
          <w:b/>
          <w:spacing w:val="10"/>
          <w:kern w:val="2"/>
        </w:rPr>
      </w:pPr>
      <w:r>
        <w:rPr>
          <w:rFonts w:hint="eastAsia"/>
          <w:spacing w:val="10"/>
          <w:kern w:val="2"/>
        </w:rPr>
        <w:t>备注：√代表可以购买；×代表不能购买。</w:t>
      </w:r>
    </w:p>
    <w:p>
      <w:pPr>
        <w:pStyle w:val="14"/>
        <w:spacing w:before="0" w:after="0" w:line="240" w:lineRule="auto"/>
        <w:ind w:firstLine="520" w:firstLineChars="200"/>
        <w:rPr>
          <w:b/>
          <w:spacing w:val="10"/>
          <w:kern w:val="2"/>
        </w:rPr>
      </w:pPr>
      <w:r>
        <w:rPr>
          <w:rFonts w:hint="eastAsia"/>
          <w:b/>
          <w:spacing w:val="10"/>
          <w:kern w:val="2"/>
        </w:rPr>
        <w:t>第五条 理财产品信息披露的方式、渠道和频率说明</w:t>
      </w:r>
    </w:p>
    <w:p>
      <w:pPr>
        <w:pStyle w:val="14"/>
        <w:spacing w:before="0" w:after="0" w:line="240" w:lineRule="auto"/>
        <w:ind w:firstLine="520" w:firstLineChars="200"/>
        <w:rPr>
          <w:bCs/>
          <w:spacing w:val="10"/>
          <w:kern w:val="2"/>
        </w:rPr>
      </w:pPr>
      <w:r>
        <w:rPr>
          <w:rFonts w:hint="eastAsia"/>
          <w:bCs/>
          <w:spacing w:val="10"/>
          <w:kern w:val="2"/>
        </w:rPr>
        <w:t>南银理财按照对应期次《理财产品说明书》约定的方式、渠道和频率进行信息披露。投资者应密切关注与本理财产品有关的信息披露，以免造成不必要的损失。</w:t>
      </w:r>
    </w:p>
    <w:p>
      <w:pPr>
        <w:pStyle w:val="14"/>
        <w:spacing w:before="0" w:after="0" w:line="240" w:lineRule="auto"/>
        <w:ind w:firstLine="520" w:firstLineChars="200"/>
        <w:rPr>
          <w:bCs/>
          <w:spacing w:val="10"/>
          <w:kern w:val="2"/>
        </w:rPr>
      </w:pPr>
      <w:r>
        <w:rPr>
          <w:rFonts w:hint="eastAsia"/>
          <w:bCs/>
          <w:spacing w:val="10"/>
          <w:kern w:val="2"/>
        </w:rPr>
        <w:t>投资者预留在南银理财或销售机构的有效联系方式变更的，应及时通知南银理财或销售机构。</w:t>
      </w:r>
      <w:r>
        <w:rPr>
          <w:rFonts w:hint="eastAsia"/>
          <w:b/>
          <w:spacing w:val="10"/>
          <w:kern w:val="2"/>
        </w:rPr>
        <w:t>如投资者未及时告知南银理财或销售机构联系方式变更，造成南银理财或销售机构在需要时无法联系投资者，并由此影响投资者的投资决策，因此而产生的责任和风险由投资者自行承担。</w:t>
      </w:r>
    </w:p>
    <w:p>
      <w:pPr>
        <w:pStyle w:val="14"/>
        <w:spacing w:before="0" w:after="0" w:line="240" w:lineRule="auto"/>
        <w:ind w:firstLine="520" w:firstLineChars="200"/>
        <w:rPr>
          <w:bCs/>
          <w:spacing w:val="10"/>
          <w:kern w:val="2"/>
        </w:rPr>
      </w:pPr>
      <w:r>
        <w:rPr>
          <w:rFonts w:hint="eastAsia"/>
          <w:b/>
          <w:spacing w:val="10"/>
          <w:kern w:val="2"/>
        </w:rPr>
        <w:t>第六条 投资者信息保护</w:t>
      </w:r>
    </w:p>
    <w:p>
      <w:pPr>
        <w:pStyle w:val="14"/>
        <w:spacing w:before="0" w:after="0" w:line="240" w:lineRule="auto"/>
        <w:ind w:firstLine="520" w:firstLineChars="200"/>
        <w:rPr>
          <w:bCs/>
          <w:spacing w:val="10"/>
          <w:kern w:val="2"/>
        </w:rPr>
      </w:pPr>
      <w:r>
        <w:rPr>
          <w:rFonts w:hint="eastAsia"/>
          <w:bCs/>
          <w:spacing w:val="10"/>
          <w:kern w:val="2"/>
        </w:rPr>
        <w:t>南银理财及销售机构承诺依法履行投资者信息保密义务，防范投资者信息被不当采集、使用、传输和泄露，保护投资者的信息安全，法律法规另有规定，或有权机关另有要求的情形除外。</w:t>
      </w:r>
    </w:p>
    <w:p>
      <w:pPr>
        <w:pStyle w:val="14"/>
        <w:spacing w:before="0" w:after="0" w:line="240" w:lineRule="auto"/>
        <w:ind w:firstLine="520" w:firstLineChars="200"/>
        <w:rPr>
          <w:b/>
          <w:spacing w:val="10"/>
          <w:kern w:val="2"/>
        </w:rPr>
      </w:pPr>
      <w:r>
        <w:rPr>
          <w:rFonts w:hint="eastAsia"/>
          <w:b/>
          <w:spacing w:val="10"/>
          <w:kern w:val="2"/>
        </w:rPr>
        <w:t>第七条 投资者投诉的方式和程序</w:t>
      </w:r>
    </w:p>
    <w:p>
      <w:pPr>
        <w:pStyle w:val="14"/>
        <w:spacing w:before="0" w:after="0" w:line="240" w:lineRule="auto"/>
        <w:ind w:firstLine="520" w:firstLineChars="200"/>
        <w:rPr>
          <w:bCs/>
          <w:spacing w:val="10"/>
          <w:kern w:val="2"/>
        </w:rPr>
      </w:pPr>
      <w:r>
        <w:rPr>
          <w:rFonts w:hint="eastAsia"/>
          <w:bCs/>
          <w:spacing w:val="10"/>
          <w:kern w:val="2"/>
        </w:rPr>
        <w:t>投资者若需针对产品的设计、成立、运作、到期清算或提前终止等事项进行投诉，</w:t>
      </w:r>
      <w:r>
        <w:rPr>
          <w:rFonts w:hint="eastAsia"/>
          <w:b/>
          <w:spacing w:val="10"/>
          <w:kern w:val="2"/>
        </w:rPr>
        <w:t>可与管理人或销售机构联系，管理人或销售机构将及时接听、记录投资者的意见或建议</w:t>
      </w:r>
      <w:r>
        <w:rPr>
          <w:b/>
          <w:spacing w:val="10"/>
          <w:kern w:val="2"/>
        </w:rPr>
        <w:t>，</w:t>
      </w:r>
      <w:r>
        <w:rPr>
          <w:rFonts w:hint="eastAsia"/>
          <w:b/>
          <w:spacing w:val="10"/>
          <w:kern w:val="2"/>
        </w:rPr>
        <w:t>并与投资者协商共同解决</w:t>
      </w:r>
      <w:r>
        <w:rPr>
          <w:rFonts w:hint="eastAsia"/>
          <w:bCs/>
          <w:spacing w:val="10"/>
          <w:kern w:val="2"/>
        </w:rPr>
        <w:t>。</w:t>
      </w:r>
    </w:p>
    <w:p>
      <w:pPr>
        <w:pStyle w:val="14"/>
        <w:spacing w:before="0" w:after="0" w:line="240" w:lineRule="auto"/>
        <w:ind w:firstLine="520" w:firstLineChars="200"/>
        <w:rPr>
          <w:b/>
          <w:spacing w:val="10"/>
          <w:kern w:val="2"/>
        </w:rPr>
      </w:pPr>
      <w:r>
        <w:rPr>
          <w:rFonts w:hint="eastAsia"/>
          <w:b/>
          <w:spacing w:val="10"/>
          <w:kern w:val="2"/>
        </w:rPr>
        <w:t>第八条 联系方式</w:t>
      </w:r>
    </w:p>
    <w:p>
      <w:pPr>
        <w:spacing w:line="360" w:lineRule="auto"/>
        <w:ind w:firstLine="520" w:firstLineChars="200"/>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pPr>
        <w:pStyle w:val="14"/>
        <w:spacing w:before="0" w:after="0" w:line="240" w:lineRule="auto"/>
        <w:ind w:firstLine="520" w:firstLineChars="200"/>
        <w:rPr>
          <w:b/>
          <w:spacing w:val="10"/>
          <w:kern w:val="2"/>
        </w:rPr>
      </w:pPr>
      <w:r>
        <w:rPr>
          <w:rFonts w:hint="eastAsia"/>
          <w:b/>
          <w:spacing w:val="10"/>
          <w:kern w:val="2"/>
        </w:rPr>
        <w:t>联系方式分别如下：</w:t>
      </w:r>
    </w:p>
    <w:p>
      <w:pPr>
        <w:pStyle w:val="14"/>
        <w:spacing w:before="0" w:after="0" w:line="240" w:lineRule="auto"/>
        <w:ind w:firstLine="520" w:firstLineChars="200"/>
        <w:rPr>
          <w:bCs/>
          <w:spacing w:val="10"/>
          <w:kern w:val="2"/>
        </w:rPr>
      </w:pPr>
      <w:r>
        <w:rPr>
          <w:rFonts w:hint="eastAsia"/>
          <w:bCs/>
          <w:spacing w:val="10"/>
          <w:kern w:val="2"/>
        </w:rPr>
        <w:t>（一）南银理财联系方式</w:t>
      </w:r>
    </w:p>
    <w:p>
      <w:pPr>
        <w:pStyle w:val="14"/>
        <w:spacing w:before="0" w:after="0" w:line="240" w:lineRule="auto"/>
        <w:ind w:firstLine="520" w:firstLineChars="200"/>
        <w:rPr>
          <w:bCs/>
          <w:spacing w:val="10"/>
          <w:kern w:val="2"/>
        </w:rPr>
      </w:pPr>
      <w:permStart w:id="3" w:edGrp="everyone"/>
      <w:r>
        <w:rPr>
          <w:rFonts w:hint="eastAsia"/>
          <w:bCs/>
          <w:spacing w:val="10"/>
          <w:kern w:val="2"/>
        </w:rPr>
        <w:t xml:space="preserve"> 南京市建邺区奥体大街68号国际研发总部园2栋13、14楼</w:t>
      </w:r>
    </w:p>
    <w:p>
      <w:pPr>
        <w:pStyle w:val="14"/>
        <w:spacing w:before="0" w:after="0" w:line="240" w:lineRule="auto"/>
        <w:ind w:firstLine="650" w:firstLineChars="250"/>
        <w:rPr>
          <w:bCs/>
          <w:spacing w:val="10"/>
          <w:kern w:val="2"/>
        </w:rPr>
      </w:pPr>
      <w:r>
        <w:rPr>
          <w:rFonts w:hint="eastAsia"/>
          <w:bCs/>
          <w:spacing w:val="10"/>
          <w:kern w:val="2"/>
        </w:rPr>
        <w:t xml:space="preserve">电话：025-83642065 </w:t>
      </w:r>
      <w:permEnd w:id="3"/>
    </w:p>
    <w:p>
      <w:pPr>
        <w:pStyle w:val="14"/>
        <w:spacing w:before="0" w:after="0" w:line="240" w:lineRule="auto"/>
        <w:ind w:firstLine="520" w:firstLineChars="200"/>
        <w:rPr>
          <w:bCs/>
          <w:spacing w:val="10"/>
          <w:kern w:val="2"/>
        </w:rPr>
      </w:pPr>
      <w:r>
        <w:rPr>
          <w:rFonts w:hint="eastAsia"/>
          <w:bCs/>
          <w:spacing w:val="10"/>
          <w:kern w:val="2"/>
        </w:rPr>
        <w:t>（二）销售机构联系方式</w:t>
      </w:r>
    </w:p>
    <w:p>
      <w:pPr>
        <w:pStyle w:val="14"/>
        <w:spacing w:before="0" w:after="0" w:line="240" w:lineRule="auto"/>
        <w:ind w:firstLine="480" w:firstLineChars="200"/>
        <w:rPr>
          <w:rFonts w:ascii="宋体" w:hAnsi="宋体"/>
          <w:lang w:val="zh-CN"/>
        </w:rPr>
      </w:pPr>
      <w:r>
        <w:rPr>
          <w:rFonts w:hint="eastAsia" w:ascii="宋体" w:hAnsi="宋体"/>
          <w:lang w:val="zh-CN"/>
        </w:rPr>
        <w:t>石嘴山银行（销售机构）24小时客户服务热线：</w:t>
      </w:r>
      <w:r>
        <w:rPr>
          <w:rFonts w:hint="eastAsia" w:ascii="宋体" w:hAnsi="宋体"/>
        </w:rPr>
        <w:t>0951-</w:t>
      </w:r>
      <w:r>
        <w:rPr>
          <w:rFonts w:hint="eastAsia" w:ascii="宋体" w:hAnsi="宋体"/>
          <w:lang w:val="zh-CN"/>
        </w:rPr>
        <w:t>96789</w:t>
      </w:r>
    </w:p>
    <w:p>
      <w:pPr>
        <w:pStyle w:val="14"/>
        <w:spacing w:before="0" w:after="0" w:line="240" w:lineRule="auto"/>
        <w:ind w:firstLine="480" w:firstLineChars="200"/>
        <w:rPr>
          <w:b/>
          <w:spacing w:val="10"/>
          <w:kern w:val="2"/>
        </w:rPr>
      </w:pPr>
      <w:r>
        <w:rPr>
          <w:rFonts w:hint="eastAsia" w:ascii="宋体" w:hAnsi="宋体"/>
        </w:rPr>
        <w:t>石嘴山银行官网网站：</w:t>
      </w:r>
      <w:r>
        <w:fldChar w:fldCharType="begin"/>
      </w:r>
      <w:r>
        <w:instrText xml:space="preserve"> HYPERLINK "http://www.szsccb.com" </w:instrText>
      </w:r>
      <w:r>
        <w:fldChar w:fldCharType="separate"/>
      </w:r>
      <w:r>
        <w:rPr>
          <w:rStyle w:val="18"/>
          <w:rFonts w:hint="eastAsia" w:ascii="宋体" w:hAnsi="宋体"/>
        </w:rPr>
        <w:t>www.szsccb.com</w:t>
      </w:r>
      <w:r>
        <w:rPr>
          <w:rStyle w:val="18"/>
          <w:rFonts w:hint="eastAsia" w:ascii="宋体" w:hAnsi="宋体"/>
        </w:rPr>
        <w:fldChar w:fldCharType="end"/>
      </w:r>
      <w:r>
        <w:rPr>
          <w:rFonts w:hint="eastAsia" w:ascii="宋体" w:hAnsi="宋体"/>
        </w:rPr>
        <w:t>。</w:t>
      </w:r>
    </w:p>
    <w:p>
      <w:pPr>
        <w:pStyle w:val="14"/>
        <w:spacing w:before="0" w:after="0" w:line="240" w:lineRule="auto"/>
        <w:ind w:firstLine="0"/>
        <w:jc w:val="both"/>
        <w:rPr>
          <w:b/>
          <w:spacing w:val="10"/>
          <w:kern w:val="2"/>
          <w:u w:val="single"/>
        </w:rPr>
      </w:pPr>
    </w:p>
    <w:p>
      <w:pPr>
        <w:pStyle w:val="14"/>
        <w:spacing w:before="0" w:after="0" w:line="240" w:lineRule="auto"/>
        <w:ind w:firstLine="0"/>
        <w:jc w:val="center"/>
        <w:rPr>
          <w:b/>
          <w:spacing w:val="10"/>
          <w:kern w:val="2"/>
          <w:u w:val="single"/>
        </w:rPr>
      </w:pPr>
      <w:r>
        <w:rPr>
          <w:rFonts w:hint="eastAsia"/>
          <w:b/>
          <w:spacing w:val="10"/>
          <w:kern w:val="2"/>
          <w:u w:val="single"/>
        </w:rPr>
        <w:t>仔细阅读提示</w:t>
      </w:r>
    </w:p>
    <w:p>
      <w:pPr>
        <w:ind w:firstLine="520" w:firstLineChars="200"/>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pPr>
        <w:rPr>
          <w:sz w:val="24"/>
          <w:szCs w:val="24"/>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2"/>
        <w:ind w:firstLine="440"/>
        <w:rPr>
          <w:sz w:val="22"/>
          <w:szCs w:val="22"/>
        </w:rPr>
      </w:pPr>
    </w:p>
    <w:p>
      <w:pPr>
        <w:pStyle w:val="3"/>
        <w:spacing w:line="360" w:lineRule="auto"/>
        <w:jc w:val="center"/>
        <w:rPr>
          <w:rFonts w:ascii="宋体" w:hAnsi="宋体" w:cs="宋体"/>
          <w:sz w:val="24"/>
          <w:szCs w:val="24"/>
        </w:rPr>
      </w:pPr>
      <w:r>
        <w:rPr>
          <w:rFonts w:hint="eastAsia" w:ascii="宋体" w:hAnsi="宋体" w:cs="FZSSK--GBK1-0"/>
          <w:kern w:val="0"/>
          <w:sz w:val="24"/>
          <w:szCs w:val="24"/>
        </w:rPr>
        <w:t>理财产品投资协议书</w:t>
      </w:r>
    </w:p>
    <w:p>
      <w:pPr>
        <w:pStyle w:val="3"/>
        <w:spacing w:line="360" w:lineRule="auto"/>
        <w:ind w:firstLine="440"/>
        <w:rPr>
          <w:rFonts w:ascii="宋体" w:hAnsi="宋体" w:cs="宋体"/>
          <w:sz w:val="22"/>
          <w:szCs w:val="24"/>
        </w:rPr>
      </w:pPr>
      <w:r>
        <w:rPr>
          <w:rFonts w:hint="eastAsia" w:ascii="宋体" w:hAnsi="宋体" w:cs="宋体"/>
          <w:sz w:val="22"/>
          <w:szCs w:val="24"/>
        </w:rPr>
        <w:t>经南银理财有限责任公司（下称“甲方”或“理财产品管理人”）与投资者（下称“乙方”）协商一致，就乙方购买的对应期次理财产品投资事宜，达成如下协议：</w:t>
      </w:r>
    </w:p>
    <w:p>
      <w:pPr>
        <w:pStyle w:val="3"/>
        <w:spacing w:line="360" w:lineRule="auto"/>
        <w:ind w:firstLine="442"/>
        <w:rPr>
          <w:rFonts w:ascii="宋体" w:hAnsi="宋体" w:cs="宋体"/>
          <w:sz w:val="22"/>
          <w:szCs w:val="24"/>
        </w:rPr>
      </w:pPr>
      <w:r>
        <w:rPr>
          <w:rFonts w:hint="eastAsia" w:ascii="宋体" w:hAnsi="宋体" w:cs="宋体"/>
          <w:sz w:val="22"/>
          <w:szCs w:val="24"/>
        </w:rPr>
        <w:t>一、重要提示</w:t>
      </w:r>
    </w:p>
    <w:p>
      <w:pPr>
        <w:pStyle w:val="3"/>
        <w:spacing w:line="360" w:lineRule="auto"/>
        <w:ind w:firstLine="440"/>
        <w:rPr>
          <w:rFonts w:ascii="宋体" w:hAnsi="宋体" w:cs="宋体"/>
          <w:sz w:val="22"/>
          <w:szCs w:val="24"/>
        </w:rPr>
      </w:pPr>
      <w:r>
        <w:rPr>
          <w:rFonts w:hint="eastAsia" w:ascii="宋体" w:hAnsi="宋体" w:cs="宋体"/>
          <w:sz w:val="22"/>
          <w:szCs w:val="24"/>
        </w:rPr>
        <w:t>理财非存款、产品有风险、投资须谨慎。理财产品面临</w:t>
      </w:r>
      <w:r>
        <w:rPr>
          <w:rFonts w:ascii="宋体" w:hAnsi="宋体" w:cs="宋体"/>
          <w:sz w:val="22"/>
          <w:szCs w:val="24"/>
        </w:rPr>
        <w:t>的风险详见</w:t>
      </w:r>
      <w:r>
        <w:rPr>
          <w:rFonts w:hint="eastAsia" w:ascii="宋体" w:hAnsi="宋体" w:cs="宋体"/>
          <w:sz w:val="22"/>
          <w:szCs w:val="24"/>
        </w:rPr>
        <w:t>对应期次《理财产品风险揭示书》和《理财产品说明书》的详细条款，乙方</w:t>
      </w:r>
      <w:r>
        <w:rPr>
          <w:rFonts w:ascii="宋体" w:hAnsi="宋体" w:cs="宋体"/>
          <w:sz w:val="22"/>
          <w:szCs w:val="24"/>
        </w:rPr>
        <w:t>应</w:t>
      </w:r>
      <w:r>
        <w:rPr>
          <w:rFonts w:hint="eastAsia" w:ascii="宋体" w:hAnsi="宋体" w:cs="宋体"/>
          <w:sz w:val="22"/>
          <w:szCs w:val="24"/>
        </w:rPr>
        <w:t>仔细阅读并充分理解对应期次理财产品可能</w:t>
      </w:r>
      <w:r>
        <w:rPr>
          <w:rFonts w:ascii="宋体" w:hAnsi="宋体" w:cs="宋体"/>
          <w:sz w:val="22"/>
          <w:szCs w:val="24"/>
        </w:rPr>
        <w:t>发生的风险</w:t>
      </w:r>
      <w:r>
        <w:rPr>
          <w:rFonts w:hint="eastAsia" w:ascii="宋体" w:hAnsi="宋体" w:cs="宋体"/>
          <w:sz w:val="22"/>
          <w:szCs w:val="24"/>
        </w:rPr>
        <w:t>。</w:t>
      </w:r>
    </w:p>
    <w:p>
      <w:pPr>
        <w:pStyle w:val="3"/>
        <w:spacing w:line="360" w:lineRule="auto"/>
        <w:ind w:firstLine="442"/>
        <w:rPr>
          <w:rFonts w:ascii="宋体" w:hAnsi="宋体" w:cs="宋体"/>
          <w:sz w:val="22"/>
          <w:szCs w:val="24"/>
        </w:rPr>
      </w:pPr>
      <w:r>
        <w:rPr>
          <w:rFonts w:hint="eastAsia" w:ascii="宋体" w:hAnsi="宋体" w:cs="宋体"/>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pPr>
        <w:pStyle w:val="3"/>
        <w:spacing w:line="360" w:lineRule="auto"/>
        <w:ind w:firstLine="442"/>
        <w:rPr>
          <w:rFonts w:ascii="宋体" w:hAnsi="宋体" w:cs="宋体"/>
          <w:sz w:val="22"/>
          <w:szCs w:val="24"/>
        </w:rPr>
      </w:pPr>
      <w:r>
        <w:rPr>
          <w:rFonts w:hint="eastAsia" w:ascii="宋体" w:hAnsi="宋体" w:cs="宋体"/>
          <w:sz w:val="22"/>
          <w:szCs w:val="24"/>
        </w:rPr>
        <w:t>二、</w:t>
      </w:r>
      <w:r>
        <w:rPr>
          <w:rFonts w:ascii="宋体" w:hAnsi="宋体" w:cs="宋体"/>
          <w:sz w:val="22"/>
          <w:szCs w:val="24"/>
        </w:rPr>
        <w:t>双方权利与义务</w:t>
      </w:r>
    </w:p>
    <w:p>
      <w:pPr>
        <w:pStyle w:val="3"/>
        <w:spacing w:line="360" w:lineRule="auto"/>
        <w:ind w:firstLine="440"/>
        <w:rPr>
          <w:rFonts w:ascii="宋体" w:hAnsi="宋体" w:cs="宋体"/>
          <w:sz w:val="22"/>
          <w:szCs w:val="24"/>
        </w:rPr>
      </w:pPr>
      <w:r>
        <w:rPr>
          <w:rFonts w:ascii="宋体" w:hAnsi="宋体" w:cs="宋体"/>
          <w:sz w:val="22"/>
          <w:szCs w:val="24"/>
        </w:rPr>
        <w:t>（</w:t>
      </w:r>
      <w:r>
        <w:rPr>
          <w:rFonts w:hint="eastAsia" w:ascii="宋体" w:hAnsi="宋体" w:cs="宋体"/>
          <w:sz w:val="22"/>
          <w:szCs w:val="24"/>
        </w:rPr>
        <w:t>一</w:t>
      </w:r>
      <w:r>
        <w:rPr>
          <w:rFonts w:ascii="宋体" w:hAnsi="宋体" w:cs="宋体"/>
          <w:sz w:val="22"/>
          <w:szCs w:val="24"/>
        </w:rPr>
        <w:t>）</w:t>
      </w:r>
      <w:r>
        <w:rPr>
          <w:rFonts w:hint="eastAsia" w:ascii="宋体" w:hAnsi="宋体" w:cs="宋体"/>
          <w:sz w:val="22"/>
          <w:szCs w:val="24"/>
        </w:rPr>
        <w:t>甲方的权利与义务</w:t>
      </w:r>
    </w:p>
    <w:p>
      <w:pPr>
        <w:pStyle w:val="3"/>
        <w:spacing w:line="360" w:lineRule="auto"/>
        <w:ind w:firstLine="440"/>
        <w:rPr>
          <w:rFonts w:ascii="宋体" w:hAnsi="宋体" w:cs="宋体"/>
          <w:sz w:val="22"/>
          <w:szCs w:val="24"/>
        </w:rPr>
      </w:pPr>
      <w:r>
        <w:rPr>
          <w:rFonts w:hint="eastAsia" w:ascii="宋体" w:hAnsi="宋体" w:cs="宋体"/>
          <w:sz w:val="22"/>
          <w:szCs w:val="24"/>
        </w:rPr>
        <w:t>1.</w:t>
      </w:r>
      <w:r>
        <w:rPr>
          <w:rFonts w:ascii="宋体" w:hAnsi="宋体" w:cs="宋体"/>
          <w:sz w:val="22"/>
          <w:szCs w:val="24"/>
        </w:rPr>
        <w:t>甲方应当履行恪尽职守、勤勉尽责、诚实守信、有效管理的义务。</w:t>
      </w:r>
    </w:p>
    <w:p>
      <w:pPr>
        <w:pStyle w:val="3"/>
        <w:spacing w:line="360" w:lineRule="auto"/>
        <w:ind w:firstLine="440"/>
        <w:rPr>
          <w:rFonts w:ascii="宋体" w:hAnsi="宋体" w:cs="宋体"/>
          <w:sz w:val="22"/>
          <w:szCs w:val="24"/>
        </w:rPr>
      </w:pPr>
      <w:r>
        <w:rPr>
          <w:rFonts w:hint="eastAsia" w:ascii="宋体" w:hAnsi="宋体" w:cs="宋体"/>
          <w:sz w:val="22"/>
          <w:szCs w:val="24"/>
        </w:rPr>
        <w:t>2.按照法律法规及</w:t>
      </w:r>
      <w:r>
        <w:rPr>
          <w:rFonts w:ascii="宋体" w:hAnsi="宋体" w:cs="宋体"/>
          <w:sz w:val="22"/>
          <w:szCs w:val="24"/>
        </w:rPr>
        <w:t>对应期次</w:t>
      </w:r>
      <w:r>
        <w:rPr>
          <w:rFonts w:hint="eastAsia" w:ascii="宋体" w:hAnsi="宋体" w:cs="宋体"/>
          <w:sz w:val="22"/>
          <w:szCs w:val="24"/>
        </w:rPr>
        <w:t>《理财产品说明书》</w:t>
      </w:r>
      <w:r>
        <w:rPr>
          <w:rFonts w:ascii="宋体" w:hAnsi="宋体" w:cs="宋体"/>
          <w:sz w:val="22"/>
          <w:szCs w:val="24"/>
        </w:rPr>
        <w:t>约定的投资范围和权限内，甲方拥有管理和运用理财资金的权利。</w:t>
      </w:r>
    </w:p>
    <w:p>
      <w:pPr>
        <w:pStyle w:val="3"/>
        <w:spacing w:line="360" w:lineRule="auto"/>
        <w:ind w:firstLine="440"/>
        <w:rPr>
          <w:rFonts w:ascii="宋体" w:hAnsi="宋体" w:cs="宋体"/>
          <w:sz w:val="22"/>
          <w:szCs w:val="24"/>
        </w:rPr>
      </w:pPr>
      <w:r>
        <w:rPr>
          <w:rFonts w:hint="eastAsia" w:ascii="宋体" w:hAnsi="宋体" w:cs="宋体"/>
          <w:sz w:val="22"/>
          <w:szCs w:val="24"/>
        </w:rPr>
        <w:t>3.</w:t>
      </w:r>
      <w:r>
        <w:rPr>
          <w:rFonts w:ascii="宋体" w:hAnsi="宋体" w:cs="宋体"/>
          <w:sz w:val="22"/>
          <w:szCs w:val="24"/>
        </w:rPr>
        <w:t>甲方应当按照对应期次</w:t>
      </w:r>
      <w:r>
        <w:rPr>
          <w:rFonts w:hint="eastAsia" w:ascii="宋体" w:hAnsi="宋体" w:cs="宋体"/>
          <w:sz w:val="22"/>
          <w:szCs w:val="24"/>
        </w:rPr>
        <w:t>《理财产品说明书》的</w:t>
      </w:r>
      <w:r>
        <w:rPr>
          <w:rFonts w:ascii="宋体" w:hAnsi="宋体" w:cs="宋体"/>
          <w:sz w:val="22"/>
          <w:szCs w:val="24"/>
        </w:rPr>
        <w:t>约定向</w:t>
      </w:r>
      <w:r>
        <w:rPr>
          <w:rFonts w:hint="eastAsia" w:ascii="宋体" w:hAnsi="宋体" w:cs="宋体"/>
          <w:sz w:val="22"/>
          <w:szCs w:val="24"/>
        </w:rPr>
        <w:t>乙方</w:t>
      </w:r>
      <w:r>
        <w:rPr>
          <w:rFonts w:ascii="宋体" w:hAnsi="宋体" w:cs="宋体"/>
          <w:sz w:val="22"/>
          <w:szCs w:val="24"/>
        </w:rPr>
        <w:t>分配收益</w:t>
      </w:r>
      <w:r>
        <w:rPr>
          <w:rFonts w:hint="eastAsia" w:ascii="宋体" w:hAnsi="宋体" w:cs="宋体"/>
          <w:sz w:val="22"/>
          <w:szCs w:val="24"/>
        </w:rPr>
        <w:t>。</w:t>
      </w:r>
    </w:p>
    <w:p>
      <w:pPr>
        <w:pStyle w:val="3"/>
        <w:spacing w:line="360" w:lineRule="auto"/>
        <w:ind w:firstLine="440"/>
        <w:rPr>
          <w:rFonts w:ascii="宋体" w:hAnsi="宋体" w:cs="宋体"/>
          <w:sz w:val="22"/>
          <w:szCs w:val="24"/>
        </w:rPr>
      </w:pPr>
      <w:r>
        <w:rPr>
          <w:rFonts w:hint="eastAsia" w:ascii="宋体" w:hAnsi="宋体" w:cs="宋体"/>
          <w:sz w:val="22"/>
          <w:szCs w:val="24"/>
        </w:rPr>
        <w:t>4.甲方</w:t>
      </w:r>
      <w:r>
        <w:rPr>
          <w:rFonts w:ascii="宋体" w:hAnsi="宋体" w:cs="宋体"/>
          <w:sz w:val="22"/>
          <w:szCs w:val="24"/>
        </w:rPr>
        <w:t>有权按照对应期次《理财产品说明书》的约定收取相应费用。</w:t>
      </w:r>
    </w:p>
    <w:p>
      <w:pPr>
        <w:pStyle w:val="3"/>
        <w:spacing w:line="360" w:lineRule="auto"/>
        <w:ind w:firstLine="440"/>
        <w:rPr>
          <w:rFonts w:ascii="宋体" w:hAnsi="宋体" w:cs="宋体"/>
          <w:sz w:val="22"/>
          <w:szCs w:val="24"/>
        </w:rPr>
      </w:pPr>
      <w:r>
        <w:rPr>
          <w:rFonts w:hint="eastAsia" w:ascii="宋体" w:hAnsi="宋体" w:cs="宋体"/>
          <w:sz w:val="22"/>
          <w:szCs w:val="24"/>
        </w:rPr>
        <w:t>5.</w:t>
      </w:r>
      <w:r>
        <w:rPr>
          <w:rFonts w:ascii="宋体" w:hAnsi="宋体" w:cs="宋体"/>
          <w:sz w:val="22"/>
          <w:szCs w:val="24"/>
        </w:rPr>
        <w:t>由于投资管理或者获取投资标的的需要，甲方有权决定以理财产品财产支付</w:t>
      </w:r>
      <w:r>
        <w:rPr>
          <w:rFonts w:hint="eastAsia" w:ascii="宋体" w:hAnsi="宋体" w:cs="宋体"/>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pPr>
        <w:pStyle w:val="3"/>
        <w:spacing w:line="360" w:lineRule="auto"/>
        <w:ind w:firstLine="440"/>
        <w:rPr>
          <w:rFonts w:ascii="宋体" w:hAnsi="宋体" w:cs="宋体"/>
          <w:sz w:val="22"/>
          <w:szCs w:val="24"/>
        </w:rPr>
      </w:pPr>
      <w:r>
        <w:rPr>
          <w:rFonts w:hint="eastAsia" w:ascii="宋体" w:hAnsi="宋体" w:cs="宋体"/>
          <w:sz w:val="22"/>
          <w:szCs w:val="24"/>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pStyle w:val="3"/>
        <w:spacing w:line="360" w:lineRule="auto"/>
        <w:ind w:firstLine="440"/>
        <w:rPr>
          <w:rFonts w:ascii="宋体" w:hAnsi="宋体" w:cs="宋体"/>
          <w:sz w:val="22"/>
          <w:szCs w:val="24"/>
        </w:rPr>
      </w:pPr>
      <w:r>
        <w:rPr>
          <w:rFonts w:hint="eastAsia" w:ascii="宋体" w:hAnsi="宋体" w:cs="宋体"/>
          <w:sz w:val="22"/>
          <w:szCs w:val="24"/>
        </w:rPr>
        <w:t>7.</w:t>
      </w:r>
      <w:r>
        <w:rPr>
          <w:rFonts w:ascii="宋体" w:hAnsi="宋体" w:cs="宋体"/>
          <w:sz w:val="22"/>
          <w:szCs w:val="24"/>
        </w:rPr>
        <w:t>甲方有权根据产品运作的需要选任必要的业务合作机构</w:t>
      </w:r>
      <w:r>
        <w:rPr>
          <w:rFonts w:hint="eastAsia" w:ascii="宋体" w:hAnsi="宋体" w:cs="宋体"/>
          <w:sz w:val="22"/>
          <w:szCs w:val="24"/>
        </w:rPr>
        <w:t>，并确定合作模式等相关内容。</w:t>
      </w:r>
    </w:p>
    <w:p>
      <w:pPr>
        <w:pStyle w:val="3"/>
        <w:spacing w:line="360" w:lineRule="auto"/>
        <w:ind w:firstLine="440"/>
        <w:rPr>
          <w:rFonts w:ascii="宋体" w:hAnsi="宋体" w:cs="宋体"/>
          <w:sz w:val="22"/>
          <w:szCs w:val="24"/>
        </w:rPr>
      </w:pPr>
      <w:r>
        <w:rPr>
          <w:rFonts w:hint="eastAsia" w:ascii="宋体" w:hAnsi="宋体" w:cs="宋体"/>
          <w:sz w:val="22"/>
          <w:szCs w:val="24"/>
        </w:rPr>
        <w:t>8.在本理财产品存续期内：</w:t>
      </w:r>
    </w:p>
    <w:p>
      <w:pPr>
        <w:pStyle w:val="3"/>
        <w:spacing w:line="360" w:lineRule="auto"/>
        <w:ind w:firstLine="440"/>
        <w:rPr>
          <w:rFonts w:ascii="宋体" w:hAnsi="宋体" w:cs="宋体"/>
          <w:sz w:val="22"/>
          <w:szCs w:val="24"/>
        </w:rPr>
      </w:pPr>
      <w:r>
        <w:rPr>
          <w:rFonts w:hint="eastAsia" w:ascii="宋体" w:hAnsi="宋体" w:cs="宋体"/>
          <w:sz w:val="22"/>
          <w:szCs w:val="24"/>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3"/>
        <w:spacing w:line="360" w:lineRule="auto"/>
        <w:ind w:firstLine="440"/>
        <w:rPr>
          <w:rFonts w:ascii="宋体" w:hAnsi="宋体" w:cs="宋体"/>
          <w:sz w:val="22"/>
          <w:szCs w:val="24"/>
        </w:rPr>
      </w:pPr>
      <w:r>
        <w:rPr>
          <w:rFonts w:hint="eastAsia" w:ascii="宋体" w:hAnsi="宋体" w:cs="宋体"/>
          <w:sz w:val="22"/>
          <w:szCs w:val="24"/>
        </w:rPr>
        <w:t>（2）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3"/>
        <w:spacing w:line="360" w:lineRule="auto"/>
        <w:ind w:firstLine="440"/>
        <w:rPr>
          <w:rFonts w:ascii="宋体" w:hAnsi="宋体" w:cs="宋体"/>
          <w:sz w:val="22"/>
          <w:szCs w:val="24"/>
        </w:rPr>
      </w:pPr>
      <w:r>
        <w:rPr>
          <w:rFonts w:hint="eastAsia" w:ascii="宋体" w:hAnsi="宋体" w:cs="宋体"/>
          <w:sz w:val="22"/>
          <w:szCs w:val="24"/>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pStyle w:val="3"/>
        <w:spacing w:line="360" w:lineRule="auto"/>
        <w:ind w:firstLine="440"/>
        <w:rPr>
          <w:rFonts w:ascii="宋体" w:hAnsi="宋体" w:cs="宋体"/>
          <w:sz w:val="22"/>
          <w:szCs w:val="24"/>
        </w:rPr>
      </w:pPr>
      <w:r>
        <w:rPr>
          <w:rFonts w:hint="eastAsia" w:ascii="宋体" w:hAnsi="宋体" w:cs="宋体"/>
          <w:sz w:val="22"/>
          <w:szCs w:val="24"/>
        </w:rPr>
        <w:t>10.法律法规规定或理财产品销售文件约定的其它权利及义务。</w:t>
      </w:r>
    </w:p>
    <w:p>
      <w:pPr>
        <w:pStyle w:val="3"/>
        <w:spacing w:line="360" w:lineRule="auto"/>
        <w:ind w:firstLine="440"/>
        <w:rPr>
          <w:rFonts w:ascii="宋体" w:hAnsi="宋体" w:cs="宋体"/>
          <w:sz w:val="22"/>
          <w:szCs w:val="24"/>
        </w:rPr>
      </w:pPr>
      <w:r>
        <w:rPr>
          <w:rFonts w:hint="eastAsia" w:ascii="宋体" w:hAnsi="宋体" w:cs="宋体"/>
          <w:sz w:val="22"/>
          <w:szCs w:val="24"/>
        </w:rPr>
        <w:t>（二）乙方的权利与义务</w:t>
      </w:r>
    </w:p>
    <w:p>
      <w:pPr>
        <w:pStyle w:val="3"/>
        <w:spacing w:line="360" w:lineRule="auto"/>
        <w:ind w:firstLine="440"/>
        <w:rPr>
          <w:rFonts w:ascii="宋体" w:hAnsi="宋体" w:cs="宋体"/>
          <w:sz w:val="22"/>
          <w:szCs w:val="24"/>
        </w:rPr>
      </w:pPr>
      <w:r>
        <w:rPr>
          <w:rFonts w:hint="eastAsia" w:ascii="宋体" w:hAnsi="宋体" w:cs="宋体"/>
          <w:sz w:val="22"/>
          <w:szCs w:val="24"/>
        </w:rPr>
        <w:t>1.</w:t>
      </w:r>
      <w:r>
        <w:rPr>
          <w:rFonts w:ascii="宋体" w:hAnsi="宋体" w:cs="宋体"/>
          <w:sz w:val="22"/>
          <w:szCs w:val="24"/>
        </w:rPr>
        <w:t>乙方保证具有完全民事行为能力，</w:t>
      </w:r>
      <w:r>
        <w:rPr>
          <w:rFonts w:hint="eastAsia" w:ascii="宋体" w:hAnsi="宋体" w:cs="宋体"/>
          <w:sz w:val="22"/>
          <w:szCs w:val="24"/>
        </w:rPr>
        <w:t>有完全适当的资格与能力订立并履行本协议。</w:t>
      </w:r>
    </w:p>
    <w:p>
      <w:pPr>
        <w:pStyle w:val="3"/>
        <w:spacing w:line="360" w:lineRule="auto"/>
        <w:ind w:firstLine="440"/>
        <w:rPr>
          <w:rFonts w:ascii="宋体" w:hAnsi="宋体" w:cs="宋体"/>
          <w:sz w:val="22"/>
          <w:szCs w:val="24"/>
        </w:rPr>
      </w:pPr>
      <w:r>
        <w:rPr>
          <w:rFonts w:hint="eastAsia" w:ascii="宋体" w:hAnsi="宋体" w:cs="宋体"/>
          <w:sz w:val="22"/>
          <w:szCs w:val="24"/>
        </w:rPr>
        <w:t>2.</w:t>
      </w:r>
      <w:r>
        <w:rPr>
          <w:rFonts w:ascii="宋体" w:hAnsi="宋体" w:cs="宋体"/>
          <w:sz w:val="22"/>
          <w:szCs w:val="24"/>
        </w:rPr>
        <w:t>乙方能够自行识别、判断和承担理财产品的相关风险；不存在法律法规、有权机关或主管机关禁止或限制</w:t>
      </w:r>
      <w:r>
        <w:rPr>
          <w:rFonts w:hint="eastAsia" w:ascii="宋体" w:hAnsi="宋体" w:cs="宋体"/>
          <w:sz w:val="22"/>
          <w:szCs w:val="24"/>
        </w:rPr>
        <w:t>购买</w:t>
      </w:r>
      <w:r>
        <w:rPr>
          <w:rFonts w:ascii="宋体" w:hAnsi="宋体" w:cs="宋体"/>
          <w:sz w:val="22"/>
          <w:szCs w:val="24"/>
        </w:rPr>
        <w:t>理财产品的各种情形。乙方按其</w:t>
      </w:r>
      <w:r>
        <w:rPr>
          <w:rFonts w:hint="eastAsia" w:ascii="宋体" w:hAnsi="宋体" w:cs="宋体"/>
          <w:sz w:val="22"/>
          <w:szCs w:val="24"/>
        </w:rPr>
        <w:t>购买</w:t>
      </w:r>
      <w:r>
        <w:rPr>
          <w:rFonts w:ascii="宋体" w:hAnsi="宋体" w:cs="宋体"/>
          <w:sz w:val="22"/>
          <w:szCs w:val="24"/>
        </w:rPr>
        <w:t>金额在</w:t>
      </w:r>
      <w:r>
        <w:rPr>
          <w:rFonts w:hint="eastAsia" w:ascii="宋体" w:hAnsi="宋体" w:cs="宋体"/>
          <w:sz w:val="22"/>
          <w:szCs w:val="24"/>
        </w:rPr>
        <w:t>对应期次</w:t>
      </w:r>
      <w:r>
        <w:rPr>
          <w:rFonts w:ascii="宋体" w:hAnsi="宋体" w:cs="宋体"/>
          <w:sz w:val="22"/>
          <w:szCs w:val="24"/>
        </w:rPr>
        <w:t>理财协议中享有相应的权利，承担相应的义务和风险。</w:t>
      </w:r>
    </w:p>
    <w:p>
      <w:pPr>
        <w:pStyle w:val="3"/>
        <w:spacing w:line="360" w:lineRule="auto"/>
        <w:ind w:firstLine="440"/>
        <w:rPr>
          <w:rFonts w:ascii="宋体" w:hAnsi="宋体" w:cs="宋体"/>
          <w:sz w:val="22"/>
          <w:szCs w:val="24"/>
        </w:rPr>
      </w:pPr>
      <w:r>
        <w:rPr>
          <w:rFonts w:ascii="宋体" w:hAnsi="宋体" w:cs="宋体"/>
          <w:sz w:val="22"/>
          <w:szCs w:val="24"/>
        </w:rPr>
        <w:t>3</w:t>
      </w:r>
      <w:r>
        <w:rPr>
          <w:rFonts w:hint="eastAsia" w:ascii="宋体" w:hAnsi="宋体" w:cs="宋体"/>
          <w:sz w:val="22"/>
          <w:szCs w:val="24"/>
        </w:rPr>
        <w:t>.</w:t>
      </w:r>
      <w:r>
        <w:rPr>
          <w:rFonts w:ascii="宋体" w:hAnsi="宋体" w:cs="宋体"/>
          <w:sz w:val="22"/>
          <w:szCs w:val="24"/>
        </w:rPr>
        <w:t>乙方自愿</w:t>
      </w:r>
      <w:r>
        <w:rPr>
          <w:rFonts w:hint="eastAsia" w:ascii="宋体" w:hAnsi="宋体" w:cs="宋体"/>
          <w:sz w:val="22"/>
          <w:szCs w:val="24"/>
        </w:rPr>
        <w:t>购买</w:t>
      </w:r>
      <w:r>
        <w:rPr>
          <w:rFonts w:ascii="宋体" w:hAnsi="宋体" w:cs="宋体"/>
          <w:sz w:val="22"/>
          <w:szCs w:val="24"/>
        </w:rPr>
        <w:t>甲方管理的理财产品，接受甲方提供的投资理财服务。</w:t>
      </w:r>
      <w:r>
        <w:rPr>
          <w:rFonts w:hint="eastAsia" w:ascii="宋体" w:hAnsi="宋体" w:cs="宋体"/>
          <w:sz w:val="22"/>
          <w:szCs w:val="24"/>
        </w:rPr>
        <w:t>甲方向乙方提供的市场分析和预测（如有）仅供参考，乙方据此做出的任何决策均出于乙方自身的判断，甲方不承担任何责任。</w:t>
      </w:r>
    </w:p>
    <w:p>
      <w:pPr>
        <w:pStyle w:val="3"/>
        <w:spacing w:line="360" w:lineRule="auto"/>
        <w:ind w:firstLine="440"/>
        <w:rPr>
          <w:rFonts w:ascii="宋体" w:hAnsi="宋体" w:cs="宋体"/>
          <w:sz w:val="22"/>
          <w:szCs w:val="24"/>
        </w:rPr>
      </w:pPr>
      <w:r>
        <w:rPr>
          <w:rFonts w:hint="eastAsia" w:ascii="宋体" w:hAnsi="宋体" w:cs="宋体"/>
          <w:sz w:val="22"/>
          <w:szCs w:val="24"/>
        </w:rPr>
        <w:t>4.</w:t>
      </w:r>
      <w:r>
        <w:rPr>
          <w:rFonts w:ascii="宋体" w:hAnsi="宋体" w:cs="宋体"/>
          <w:sz w:val="22"/>
          <w:szCs w:val="24"/>
        </w:rPr>
        <w:t>乙方已仔细阅读</w:t>
      </w:r>
      <w:r>
        <w:rPr>
          <w:rFonts w:hint="eastAsia" w:ascii="宋体" w:hAnsi="宋体" w:cs="宋体"/>
          <w:sz w:val="22"/>
          <w:szCs w:val="24"/>
        </w:rPr>
        <w:t>《投资者权益须知》</w:t>
      </w:r>
      <w:r>
        <w:rPr>
          <w:rFonts w:ascii="宋体" w:hAnsi="宋体" w:cs="宋体"/>
          <w:sz w:val="22"/>
          <w:szCs w:val="24"/>
        </w:rPr>
        <w:t>《理财产品说明书》</w:t>
      </w:r>
      <w:r>
        <w:rPr>
          <w:rFonts w:hint="eastAsia" w:ascii="宋体" w:hAnsi="宋体" w:cs="宋体"/>
          <w:sz w:val="22"/>
          <w:szCs w:val="24"/>
        </w:rPr>
        <w:t>并清楚知晓其内容，接受并签署《理财产品风险揭示书》《</w:t>
      </w:r>
      <w:r>
        <w:rPr>
          <w:rFonts w:ascii="宋体" w:hAnsi="宋体" w:cs="宋体"/>
          <w:sz w:val="22"/>
          <w:szCs w:val="24"/>
        </w:rPr>
        <w:t>理财产品销售协议书》</w:t>
      </w:r>
      <w:r>
        <w:rPr>
          <w:rFonts w:hint="eastAsia" w:ascii="宋体" w:hAnsi="宋体" w:cs="宋体"/>
          <w:sz w:val="22"/>
          <w:szCs w:val="24"/>
        </w:rPr>
        <w:t>和本协议。</w:t>
      </w:r>
    </w:p>
    <w:p>
      <w:pPr>
        <w:pStyle w:val="3"/>
        <w:spacing w:line="360" w:lineRule="auto"/>
        <w:ind w:firstLine="440"/>
        <w:rPr>
          <w:rFonts w:ascii="宋体" w:hAnsi="宋体" w:cs="宋体"/>
          <w:sz w:val="22"/>
          <w:szCs w:val="24"/>
        </w:rPr>
      </w:pPr>
      <w:r>
        <w:rPr>
          <w:rFonts w:hint="eastAsia" w:ascii="宋体" w:hAnsi="宋体" w:cs="宋体"/>
          <w:sz w:val="22"/>
          <w:szCs w:val="24"/>
        </w:rPr>
        <w:t>5.乙方</w:t>
      </w:r>
      <w:r>
        <w:rPr>
          <w:rFonts w:ascii="宋体" w:hAnsi="宋体" w:cs="宋体"/>
          <w:sz w:val="22"/>
          <w:szCs w:val="24"/>
        </w:rPr>
        <w:t>已充分知悉</w:t>
      </w:r>
      <w:r>
        <w:rPr>
          <w:rFonts w:hint="eastAsia" w:ascii="宋体" w:hAnsi="宋体" w:cs="宋体"/>
          <w:sz w:val="22"/>
          <w:szCs w:val="24"/>
        </w:rPr>
        <w:t>对应期次</w:t>
      </w:r>
      <w:r>
        <w:rPr>
          <w:rFonts w:ascii="宋体" w:hAnsi="宋体" w:cs="宋体"/>
          <w:sz w:val="22"/>
          <w:szCs w:val="24"/>
        </w:rPr>
        <w:t>理财产品风险等级</w:t>
      </w:r>
      <w:r>
        <w:rPr>
          <w:rFonts w:hint="eastAsia" w:ascii="宋体" w:hAnsi="宋体" w:cs="宋体"/>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hint="eastAsia" w:ascii="宋体" w:hAnsi="宋体" w:cs="宋体"/>
          <w:sz w:val="22"/>
          <w:szCs w:val="24"/>
        </w:rPr>
        <w:t>购买对应期次</w:t>
      </w:r>
      <w:r>
        <w:rPr>
          <w:rFonts w:ascii="宋体" w:hAnsi="宋体" w:cs="宋体"/>
          <w:sz w:val="22"/>
          <w:szCs w:val="24"/>
        </w:rPr>
        <w:t>理财产品，乙方承诺由此产生的相关风险由其自身承担。</w:t>
      </w:r>
    </w:p>
    <w:p>
      <w:pPr>
        <w:pStyle w:val="3"/>
        <w:spacing w:line="360" w:lineRule="auto"/>
        <w:ind w:firstLine="442"/>
        <w:rPr>
          <w:rFonts w:ascii="宋体" w:hAnsi="宋体" w:cs="宋体"/>
          <w:sz w:val="22"/>
          <w:szCs w:val="24"/>
        </w:rPr>
      </w:pPr>
      <w:r>
        <w:rPr>
          <w:rFonts w:hint="eastAsia" w:ascii="宋体" w:hAnsi="宋体" w:cs="宋体"/>
          <w:sz w:val="22"/>
          <w:szCs w:val="24"/>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pPr>
        <w:pStyle w:val="3"/>
        <w:spacing w:line="360" w:lineRule="auto"/>
        <w:ind w:firstLine="442"/>
        <w:rPr>
          <w:rFonts w:ascii="宋体" w:hAnsi="宋体" w:cs="宋体"/>
          <w:sz w:val="22"/>
          <w:szCs w:val="24"/>
        </w:rPr>
      </w:pPr>
      <w:r>
        <w:rPr>
          <w:rFonts w:hint="eastAsia" w:ascii="宋体" w:hAnsi="宋体" w:cs="宋体"/>
          <w:sz w:val="22"/>
          <w:szCs w:val="24"/>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pPr>
        <w:pStyle w:val="3"/>
        <w:spacing w:line="360" w:lineRule="auto"/>
        <w:ind w:firstLine="440"/>
        <w:rPr>
          <w:rFonts w:ascii="宋体" w:hAnsi="宋体" w:cs="宋体"/>
          <w:sz w:val="22"/>
          <w:szCs w:val="24"/>
        </w:rPr>
      </w:pPr>
      <w:r>
        <w:rPr>
          <w:rFonts w:ascii="宋体" w:hAnsi="宋体" w:cs="宋体"/>
          <w:sz w:val="22"/>
          <w:szCs w:val="24"/>
        </w:rPr>
        <w:t>8</w:t>
      </w:r>
      <w:r>
        <w:rPr>
          <w:rFonts w:hint="eastAsia" w:ascii="宋体" w:hAnsi="宋体" w:cs="宋体"/>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pPr>
        <w:pStyle w:val="3"/>
        <w:spacing w:line="360" w:lineRule="auto"/>
        <w:ind w:firstLine="442"/>
        <w:rPr>
          <w:rFonts w:ascii="宋体" w:hAnsi="宋体" w:cs="宋体"/>
          <w:sz w:val="22"/>
          <w:szCs w:val="24"/>
        </w:rPr>
      </w:pPr>
      <w:r>
        <w:rPr>
          <w:rFonts w:hint="eastAsia" w:ascii="宋体" w:hAnsi="宋体" w:cs="宋体"/>
          <w:sz w:val="22"/>
          <w:szCs w:val="24"/>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pStyle w:val="3"/>
        <w:spacing w:line="360" w:lineRule="auto"/>
        <w:ind w:firstLine="442"/>
        <w:rPr>
          <w:rFonts w:ascii="宋体" w:hAnsi="宋体" w:cs="宋体"/>
          <w:sz w:val="22"/>
          <w:szCs w:val="24"/>
        </w:rPr>
      </w:pPr>
      <w:r>
        <w:rPr>
          <w:rFonts w:hint="eastAsia" w:ascii="宋体" w:hAnsi="宋体" w:cs="宋体"/>
          <w:sz w:val="22"/>
          <w:szCs w:val="24"/>
        </w:rPr>
        <w:t>10.乙方对因购买、持有本理财产品而知悉的甲方及销售机构保密信息承担保密义务，乙方承诺不以任何方式向任何第三方披露甲方或销售机构的保密信息，法律法规另有规定的除外。</w:t>
      </w:r>
    </w:p>
    <w:p>
      <w:pPr>
        <w:pStyle w:val="3"/>
        <w:spacing w:line="360" w:lineRule="auto"/>
        <w:ind w:firstLine="440"/>
        <w:rPr>
          <w:rFonts w:ascii="宋体" w:hAnsi="宋体" w:cs="宋体"/>
          <w:sz w:val="22"/>
          <w:szCs w:val="24"/>
        </w:rPr>
      </w:pPr>
      <w:r>
        <w:rPr>
          <w:rFonts w:hint="eastAsia" w:ascii="宋体" w:hAnsi="宋体" w:cs="宋体"/>
          <w:sz w:val="22"/>
          <w:szCs w:val="24"/>
        </w:rPr>
        <w:t>11.法律法规规定或理财产品销售文件约定的其它权利及义务。</w:t>
      </w:r>
    </w:p>
    <w:p>
      <w:pPr>
        <w:pStyle w:val="3"/>
        <w:spacing w:line="360" w:lineRule="auto"/>
        <w:ind w:firstLine="442"/>
        <w:rPr>
          <w:rFonts w:ascii="宋体" w:hAnsi="宋体" w:cs="宋体"/>
          <w:sz w:val="22"/>
          <w:szCs w:val="24"/>
        </w:rPr>
      </w:pPr>
      <w:r>
        <w:rPr>
          <w:rFonts w:hint="eastAsia" w:ascii="宋体" w:hAnsi="宋体" w:cs="宋体"/>
          <w:sz w:val="22"/>
          <w:szCs w:val="24"/>
        </w:rPr>
        <w:t>三、协议的生效和终止</w:t>
      </w:r>
    </w:p>
    <w:p>
      <w:pPr>
        <w:pStyle w:val="3"/>
        <w:spacing w:line="360" w:lineRule="auto"/>
        <w:ind w:firstLine="440"/>
        <w:rPr>
          <w:rFonts w:ascii="宋体" w:hAnsi="宋体" w:cs="宋体"/>
          <w:sz w:val="22"/>
          <w:szCs w:val="24"/>
        </w:rPr>
      </w:pPr>
      <w:r>
        <w:rPr>
          <w:rFonts w:hint="eastAsia" w:ascii="宋体" w:hAnsi="宋体" w:cs="宋体"/>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pStyle w:val="3"/>
        <w:spacing w:line="360" w:lineRule="auto"/>
        <w:ind w:firstLine="440"/>
        <w:rPr>
          <w:rFonts w:ascii="宋体" w:hAnsi="宋体" w:cs="宋体"/>
          <w:sz w:val="22"/>
          <w:szCs w:val="24"/>
        </w:rPr>
      </w:pPr>
      <w:r>
        <w:rPr>
          <w:rFonts w:hint="eastAsia" w:ascii="宋体" w:hAnsi="宋体" w:cs="宋体"/>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pPr>
        <w:pStyle w:val="3"/>
        <w:spacing w:line="360" w:lineRule="auto"/>
        <w:ind w:firstLine="440"/>
        <w:rPr>
          <w:rFonts w:ascii="宋体" w:hAnsi="宋体" w:cs="宋体"/>
          <w:sz w:val="22"/>
          <w:szCs w:val="24"/>
        </w:rPr>
      </w:pPr>
      <w:r>
        <w:rPr>
          <w:rFonts w:hint="eastAsia" w:ascii="宋体" w:hAnsi="宋体" w:cs="宋体"/>
          <w:sz w:val="22"/>
          <w:szCs w:val="24"/>
        </w:rPr>
        <w:t>（三）乙方购买理财产品失败、甲方提前终止对应期次理财产品以及对应期次理财产品到期并结清后，本协议自动终止。</w:t>
      </w:r>
    </w:p>
    <w:p>
      <w:pPr>
        <w:pStyle w:val="3"/>
        <w:spacing w:line="360" w:lineRule="auto"/>
        <w:ind w:firstLine="442"/>
        <w:rPr>
          <w:rFonts w:ascii="宋体" w:hAnsi="宋体" w:cs="宋体"/>
          <w:sz w:val="22"/>
          <w:szCs w:val="24"/>
        </w:rPr>
      </w:pPr>
      <w:r>
        <w:rPr>
          <w:rFonts w:hint="eastAsia" w:ascii="宋体" w:hAnsi="宋体" w:cs="宋体"/>
          <w:sz w:val="22"/>
          <w:szCs w:val="24"/>
        </w:rPr>
        <w:t>四、不可抗力及其他免责条款</w:t>
      </w:r>
    </w:p>
    <w:p>
      <w:pPr>
        <w:pStyle w:val="3"/>
        <w:spacing w:line="360" w:lineRule="auto"/>
        <w:ind w:firstLine="440"/>
        <w:rPr>
          <w:rFonts w:ascii="宋体" w:hAnsi="宋体" w:cs="宋体"/>
          <w:sz w:val="22"/>
          <w:szCs w:val="24"/>
        </w:rPr>
      </w:pPr>
      <w:r>
        <w:rPr>
          <w:rFonts w:hint="eastAsia" w:ascii="宋体" w:hAnsi="宋体" w:cs="宋体"/>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pPr>
        <w:pStyle w:val="3"/>
        <w:spacing w:line="360" w:lineRule="auto"/>
        <w:ind w:firstLine="440"/>
        <w:rPr>
          <w:rFonts w:ascii="宋体" w:hAnsi="宋体" w:cs="宋体"/>
          <w:sz w:val="22"/>
          <w:szCs w:val="24"/>
        </w:rPr>
      </w:pPr>
      <w:r>
        <w:rPr>
          <w:rFonts w:ascii="宋体" w:hAnsi="宋体" w:cs="宋体"/>
          <w:sz w:val="22"/>
          <w:szCs w:val="24"/>
        </w:rPr>
        <w:t>非因</w:t>
      </w:r>
      <w:r>
        <w:rPr>
          <w:rFonts w:hint="eastAsia" w:ascii="宋体" w:hAnsi="宋体" w:cs="宋体"/>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hint="eastAsia" w:ascii="宋体" w:hAnsi="宋体" w:cs="宋体"/>
          <w:sz w:val="22"/>
          <w:szCs w:val="24"/>
        </w:rPr>
        <w:t>甲方</w:t>
      </w:r>
      <w:r>
        <w:rPr>
          <w:rFonts w:ascii="宋体" w:hAnsi="宋体" w:cs="宋体"/>
          <w:sz w:val="22"/>
          <w:szCs w:val="24"/>
        </w:rPr>
        <w:t>不承担责任。</w:t>
      </w:r>
    </w:p>
    <w:p>
      <w:pPr>
        <w:pStyle w:val="3"/>
        <w:spacing w:line="360" w:lineRule="auto"/>
        <w:ind w:firstLine="442"/>
        <w:rPr>
          <w:rFonts w:ascii="宋体" w:hAnsi="宋体" w:cs="宋体"/>
          <w:sz w:val="22"/>
          <w:szCs w:val="24"/>
        </w:rPr>
      </w:pPr>
      <w:r>
        <w:rPr>
          <w:rFonts w:hint="eastAsia" w:ascii="宋体" w:hAnsi="宋体" w:cs="宋体"/>
          <w:sz w:val="22"/>
          <w:szCs w:val="24"/>
        </w:rPr>
        <w:t>五、争议解决</w:t>
      </w:r>
    </w:p>
    <w:p>
      <w:pPr>
        <w:pStyle w:val="3"/>
        <w:spacing w:line="360" w:lineRule="auto"/>
        <w:ind w:firstLine="440"/>
        <w:rPr>
          <w:rFonts w:ascii="宋体" w:hAnsi="宋体" w:cs="宋体"/>
          <w:sz w:val="22"/>
          <w:szCs w:val="24"/>
        </w:rPr>
      </w:pPr>
      <w:r>
        <w:rPr>
          <w:rFonts w:hint="eastAsia" w:ascii="宋体" w:hAnsi="宋体" w:cs="宋体"/>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pPr>
        <w:pStyle w:val="3"/>
        <w:spacing w:line="360" w:lineRule="auto"/>
        <w:ind w:firstLine="442"/>
        <w:rPr>
          <w:rFonts w:ascii="宋体" w:hAnsi="宋体" w:cs="宋体"/>
          <w:sz w:val="22"/>
          <w:szCs w:val="24"/>
        </w:rPr>
      </w:pPr>
      <w:r>
        <w:rPr>
          <w:rFonts w:hint="eastAsia" w:ascii="宋体" w:hAnsi="宋体" w:cs="宋体"/>
          <w:sz w:val="22"/>
          <w:szCs w:val="24"/>
        </w:rPr>
        <w:t>六、本协议未尽事宜，以《理财产品说明书》《理财产品风险揭示书》《理财产品销售协议书》及《投资者权益须知》等销售文件的内容为准。</w:t>
      </w:r>
    </w:p>
    <w:p>
      <w:pPr>
        <w:pStyle w:val="3"/>
        <w:spacing w:line="360" w:lineRule="auto"/>
        <w:ind w:firstLine="440"/>
        <w:rPr>
          <w:rFonts w:ascii="宋体" w:hAnsi="宋体" w:cs="宋体"/>
          <w:sz w:val="22"/>
          <w:szCs w:val="24"/>
        </w:rPr>
      </w:pPr>
    </w:p>
    <w:p>
      <w:pPr>
        <w:pStyle w:val="3"/>
        <w:spacing w:line="360" w:lineRule="auto"/>
        <w:ind w:firstLine="442"/>
        <w:rPr>
          <w:rFonts w:ascii="宋体" w:hAnsi="宋体" w:cs="宋体"/>
          <w:sz w:val="22"/>
          <w:szCs w:val="24"/>
        </w:rPr>
      </w:pPr>
      <w:r>
        <w:rPr>
          <w:rFonts w:hint="eastAsia" w:ascii="宋体" w:hAnsi="宋体" w:cs="宋体"/>
          <w:sz w:val="22"/>
          <w:szCs w:val="24"/>
        </w:rPr>
        <w:t>请投资者在购买本理财产品前认真阅读以上条款，尤其是加粗的条款。如果投资者不同意本协议的任何内容，或者无法准确理解相关条款的解释，请不要进行后续操作。</w:t>
      </w:r>
    </w:p>
    <w:p>
      <w:pPr>
        <w:pStyle w:val="3"/>
        <w:spacing w:line="360" w:lineRule="auto"/>
        <w:ind w:firstLine="440"/>
        <w:rPr>
          <w:rFonts w:ascii="宋体" w:hAnsi="宋体" w:cs="宋体"/>
          <w:sz w:val="22"/>
          <w:szCs w:val="24"/>
        </w:rPr>
      </w:pPr>
      <w:r>
        <w:rPr>
          <w:rFonts w:hint="eastAsia" w:ascii="宋体" w:hAnsi="宋体" w:cs="宋体"/>
          <w:sz w:val="22"/>
          <w:szCs w:val="24"/>
        </w:rPr>
        <w:t>（以下无正文）</w:t>
      </w:r>
    </w:p>
    <w:p>
      <w:pPr>
        <w:pStyle w:val="3"/>
        <w:spacing w:line="360" w:lineRule="auto"/>
        <w:ind w:firstLine="440"/>
        <w:rPr>
          <w:rFonts w:ascii="宋体" w:hAnsi="宋体" w:cs="宋体"/>
          <w:sz w:val="22"/>
          <w:szCs w:val="24"/>
        </w:rPr>
      </w:pPr>
    </w:p>
    <w:p>
      <w:pPr>
        <w:spacing w:line="360" w:lineRule="auto"/>
        <w:rPr>
          <w:rFonts w:ascii="宋体" w:hAnsi="宋体"/>
          <w:sz w:val="22"/>
          <w:szCs w:val="24"/>
        </w:rPr>
      </w:pPr>
      <w:r>
        <w:rPr>
          <w:rStyle w:val="37"/>
          <w:sz w:val="22"/>
          <w:szCs w:val="24"/>
        </w:rPr>
        <w:t>个人投资者（如适用）：                   机构投资者（如适用）：</w:t>
      </w:r>
      <w:r>
        <w:rPr>
          <w:rFonts w:hint="eastAsia"/>
          <w:color w:val="000000"/>
          <w:sz w:val="22"/>
          <w:szCs w:val="24"/>
        </w:rPr>
        <w:br w:type="textWrapping"/>
      </w:r>
      <w:r>
        <w:rPr>
          <w:rStyle w:val="37"/>
          <w:sz w:val="22"/>
          <w:szCs w:val="24"/>
        </w:rPr>
        <w:t>个人投资者： （签名或盖章）              机构投资者： （</w:t>
      </w:r>
      <w:r>
        <w:rPr>
          <w:rFonts w:hint="eastAsia" w:ascii="宋体" w:hAnsi="宋体" w:cs="宋体"/>
          <w:sz w:val="22"/>
          <w:szCs w:val="24"/>
        </w:rPr>
        <w:t>公章或合同专用章</w:t>
      </w:r>
      <w:r>
        <w:rPr>
          <w:rStyle w:val="37"/>
          <w:sz w:val="22"/>
          <w:szCs w:val="24"/>
        </w:rPr>
        <w:t>）</w:t>
      </w:r>
      <w:r>
        <w:rPr>
          <w:rFonts w:hint="eastAsia"/>
          <w:color w:val="000000"/>
          <w:sz w:val="22"/>
          <w:szCs w:val="24"/>
        </w:rPr>
        <w:br w:type="textWrapping"/>
      </w:r>
      <w:r>
        <w:rPr>
          <w:rStyle w:val="37"/>
          <w:sz w:val="22"/>
          <w:szCs w:val="24"/>
        </w:rPr>
        <w:t xml:space="preserve">   年  月  日                           法定代表人或授权代理人：（签名或盖章）</w:t>
      </w:r>
      <w:r>
        <w:rPr>
          <w:rFonts w:hint="eastAsia"/>
          <w:color w:val="000000"/>
          <w:sz w:val="22"/>
          <w:szCs w:val="24"/>
        </w:rPr>
        <w:br w:type="textWrapping"/>
      </w:r>
      <w:r>
        <w:rPr>
          <w:rStyle w:val="37"/>
          <w:sz w:val="22"/>
          <w:szCs w:val="24"/>
        </w:rPr>
        <w:t xml:space="preserve">                                            年    月   日</w:t>
      </w:r>
    </w:p>
    <w:p>
      <w:pPr>
        <w:pStyle w:val="2"/>
      </w:pPr>
      <w:bookmarkStart w:id="33" w:name="_GoBack"/>
      <w:bookmarkEnd w:id="33"/>
    </w:p>
    <w:sectPr>
      <w:headerReference r:id="rId3"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Luxi Sans">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Dialog">
    <w:altName w:val="Times New Ro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MicrosoftYaHei_PDF_Subset">
    <w:altName w:val="苹方-简"/>
    <w:panose1 w:val="00000000000000000000"/>
    <w:charset w:val="00"/>
    <w:family w:val="auto"/>
    <w:pitch w:val="default"/>
    <w:sig w:usb0="00000000" w:usb1="00000000" w:usb2="00000000" w:usb3="00000000" w:csb0="00000000" w:csb1="00000000"/>
  </w:font>
  <w:font w:name="方正细黑一简体">
    <w:altName w:val="黑体-简"/>
    <w:panose1 w:val="00000000000000000000"/>
    <w:charset w:val="00"/>
    <w:family w:val="auto"/>
    <w:pitch w:val="default"/>
    <w:sig w:usb0="00000000" w:usb1="00000000" w:usb2="00000000" w:usb3="00000000" w:csb0="00000000" w:csb1="00000000"/>
  </w:font>
  <w:font w:name="FZSSK--GBK1-0">
    <w:panose1 w:val="02000000000000000000"/>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pPr>
    <w:r>
      <w:t xml:space="preserve">   </w:t>
    </w:r>
    <w:r>
      <w:rPr>
        <w:rFonts w:hint="eastAsia" w:ascii="宋体"/>
      </w:rPr>
      <w:t>南银理财理财产品销售文件（</w:t>
    </w:r>
    <w:r>
      <w:t>2021</w:t>
    </w:r>
    <w:r>
      <w:rPr>
        <w:rFonts w:hint="eastAsia" w:ascii="宋体"/>
      </w:rPr>
      <w:t>第</w:t>
    </w:r>
    <w:r>
      <w:t>2</w:t>
    </w:r>
    <w:r>
      <w:rPr>
        <w:rFonts w:hint="eastAsia" w:ascii="宋体"/>
      </w:rPr>
      <w:t>版）</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14925"/>
    <w:multiLevelType w:val="singleLevel"/>
    <w:tmpl w:val="00614925"/>
    <w:lvl w:ilvl="0" w:tentative="0">
      <w:start w:val="1"/>
      <w:numFmt w:val="decimal"/>
      <w:suff w:val="nothing"/>
      <w:lvlText w:val="（%1）"/>
      <w:lvlJc w:val="left"/>
    </w:lvl>
  </w:abstractNum>
  <w:abstractNum w:abstractNumId="1">
    <w:nsid w:val="0135FB71"/>
    <w:multiLevelType w:val="singleLevel"/>
    <w:tmpl w:val="0135FB71"/>
    <w:lvl w:ilvl="0" w:tentative="0">
      <w:start w:val="1"/>
      <w:numFmt w:val="decimal"/>
      <w:suff w:val="nothing"/>
      <w:lvlText w:val="（%1）"/>
      <w:lvlJc w:val="left"/>
    </w:lvl>
  </w:abstractNum>
  <w:abstractNum w:abstractNumId="2">
    <w:nsid w:val="020233A0"/>
    <w:multiLevelType w:val="singleLevel"/>
    <w:tmpl w:val="020233A0"/>
    <w:lvl w:ilvl="0" w:tentative="0">
      <w:start w:val="1"/>
      <w:numFmt w:val="decimal"/>
      <w:suff w:val="nothing"/>
      <w:lvlText w:val="（%1）"/>
      <w:lvlJc w:val="left"/>
    </w:lvl>
  </w:abstractNum>
  <w:abstractNum w:abstractNumId="3">
    <w:nsid w:val="02B77635"/>
    <w:multiLevelType w:val="singleLevel"/>
    <w:tmpl w:val="02B77635"/>
    <w:lvl w:ilvl="0" w:tentative="0">
      <w:start w:val="1"/>
      <w:numFmt w:val="decimal"/>
      <w:suff w:val="nothing"/>
      <w:lvlText w:val="（%1）"/>
      <w:lvlJc w:val="left"/>
    </w:lvl>
  </w:abstractNum>
  <w:abstractNum w:abstractNumId="4">
    <w:nsid w:val="02C0F9EA"/>
    <w:multiLevelType w:val="multilevel"/>
    <w:tmpl w:val="02C0F9EA"/>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02DBEDEE"/>
    <w:multiLevelType w:val="multilevel"/>
    <w:tmpl w:val="02DBEDEE"/>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03138744"/>
    <w:multiLevelType w:val="multilevel"/>
    <w:tmpl w:val="03138744"/>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7">
    <w:nsid w:val="03909E17"/>
    <w:multiLevelType w:val="singleLevel"/>
    <w:tmpl w:val="03909E17"/>
    <w:lvl w:ilvl="0" w:tentative="0">
      <w:start w:val="1"/>
      <w:numFmt w:val="decimal"/>
      <w:suff w:val="nothing"/>
      <w:lvlText w:val="（%1）"/>
      <w:lvlJc w:val="left"/>
    </w:lvl>
  </w:abstractNum>
  <w:abstractNum w:abstractNumId="8">
    <w:nsid w:val="049E0DDF"/>
    <w:multiLevelType w:val="singleLevel"/>
    <w:tmpl w:val="049E0DDF"/>
    <w:lvl w:ilvl="0" w:tentative="0">
      <w:start w:val="1"/>
      <w:numFmt w:val="decimal"/>
      <w:suff w:val="nothing"/>
      <w:lvlText w:val="%1."/>
      <w:lvlJc w:val="left"/>
    </w:lvl>
  </w:abstractNum>
  <w:abstractNum w:abstractNumId="9">
    <w:nsid w:val="05D0BE48"/>
    <w:multiLevelType w:val="multilevel"/>
    <w:tmpl w:val="05D0BE48"/>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10">
    <w:nsid w:val="64805100"/>
    <w:multiLevelType w:val="multilevel"/>
    <w:tmpl w:val="64805100"/>
    <w:lvl w:ilvl="0" w:tentative="0">
      <w:start w:val="1"/>
      <w:numFmt w:val="chineseCountingThousand"/>
      <w:lvlText w:val="（%1）"/>
      <w:legacy w:legacy="1" w:legacySpace="0" w:legacyIndent="420"/>
      <w:lvlJc w:val="left"/>
      <w:pPr>
        <w:ind w:left="704" w:hanging="420"/>
      </w:pPr>
      <w:rPr>
        <w:rFonts w:hint="eastAsia" w:ascii="宋体" w:hAnsi="宋体" w:eastAsia="宋体"/>
        <w:b w:val="0"/>
        <w:bCs w:val="0"/>
      </w:rPr>
    </w:lvl>
    <w:lvl w:ilvl="1" w:tentative="0">
      <w:start w:val="1"/>
      <w:numFmt w:val="lowerLetter"/>
      <w:lvlText w:val="%2)"/>
      <w:legacy w:legacy="1" w:legacySpace="0" w:legacyIndent="420"/>
      <w:lvlJc w:val="left"/>
      <w:pPr>
        <w:ind w:left="1124" w:hanging="420"/>
      </w:pPr>
      <w:rPr>
        <w:rFonts w:hint="default" w:ascii="Times New Roman" w:hAnsi="Times New Roman"/>
      </w:rPr>
    </w:lvl>
    <w:lvl w:ilvl="2" w:tentative="0">
      <w:start w:val="1"/>
      <w:numFmt w:val="decimal"/>
      <w:lvlText w:val="%3."/>
      <w:legacy w:legacy="1" w:legacySpace="0" w:legacyIndent="420"/>
      <w:lvlJc w:val="right"/>
      <w:pPr>
        <w:ind w:left="1544" w:hanging="420"/>
      </w:pPr>
      <w:rPr>
        <w:rFonts w:hint="default" w:ascii="Times New Roman" w:hAnsi="Times New Roman"/>
      </w:rPr>
    </w:lvl>
    <w:lvl w:ilvl="3" w:tentative="0">
      <w:start w:val="1"/>
      <w:numFmt w:val="decimal"/>
      <w:lvlText w:val="%4."/>
      <w:legacy w:legacy="1" w:legacySpace="0" w:legacyIndent="420"/>
      <w:lvlJc w:val="left"/>
      <w:pPr>
        <w:ind w:left="1964" w:hanging="420"/>
      </w:pPr>
      <w:rPr>
        <w:rFonts w:hint="default" w:ascii="Times New Roman" w:hAnsi="Times New Roman"/>
      </w:rPr>
    </w:lvl>
    <w:lvl w:ilvl="4" w:tentative="0">
      <w:start w:val="1"/>
      <w:numFmt w:val="lowerLetter"/>
      <w:lvlText w:val="%5)"/>
      <w:legacy w:legacy="1" w:legacySpace="0" w:legacyIndent="420"/>
      <w:lvlJc w:val="left"/>
      <w:pPr>
        <w:ind w:left="2384" w:hanging="420"/>
      </w:pPr>
      <w:rPr>
        <w:rFonts w:hint="default" w:ascii="Times New Roman" w:hAnsi="Times New Roman"/>
      </w:rPr>
    </w:lvl>
    <w:lvl w:ilvl="5" w:tentative="0">
      <w:start w:val="1"/>
      <w:numFmt w:val="decimal"/>
      <w:lvlText w:val="%6."/>
      <w:legacy w:legacy="1" w:legacySpace="0" w:legacyIndent="420"/>
      <w:lvlJc w:val="right"/>
      <w:pPr>
        <w:ind w:left="2804" w:hanging="420"/>
      </w:pPr>
      <w:rPr>
        <w:rFonts w:hint="default" w:ascii="Times New Roman" w:hAnsi="Times New Roman"/>
      </w:rPr>
    </w:lvl>
    <w:lvl w:ilvl="6" w:tentative="0">
      <w:start w:val="1"/>
      <w:numFmt w:val="decimal"/>
      <w:lvlText w:val="%7."/>
      <w:legacy w:legacy="1" w:legacySpace="0" w:legacyIndent="420"/>
      <w:lvlJc w:val="left"/>
      <w:pPr>
        <w:ind w:left="3224" w:hanging="420"/>
      </w:pPr>
      <w:rPr>
        <w:rFonts w:hint="default" w:ascii="Times New Roman" w:hAnsi="Times New Roman"/>
      </w:rPr>
    </w:lvl>
    <w:lvl w:ilvl="7" w:tentative="0">
      <w:start w:val="1"/>
      <w:numFmt w:val="lowerLetter"/>
      <w:lvlText w:val="%8)"/>
      <w:legacy w:legacy="1" w:legacySpace="0" w:legacyIndent="420"/>
      <w:lvlJc w:val="left"/>
      <w:pPr>
        <w:ind w:left="3644" w:hanging="420"/>
      </w:pPr>
      <w:rPr>
        <w:rFonts w:hint="default" w:ascii="Times New Roman" w:hAnsi="Times New Roman"/>
      </w:rPr>
    </w:lvl>
    <w:lvl w:ilvl="8" w:tentative="0">
      <w:start w:val="1"/>
      <w:numFmt w:val="decimal"/>
      <w:lvlText w:val="%9."/>
      <w:legacy w:legacy="1" w:legacySpace="0" w:legacyIndent="420"/>
      <w:lvlJc w:val="right"/>
      <w:pPr>
        <w:ind w:left="4064" w:hanging="420"/>
      </w:pPr>
      <w:rPr>
        <w:rFonts w:hint="default" w:ascii="Times New Roman" w:hAnsi="Times New Roman"/>
      </w:rPr>
    </w:lvl>
  </w:abstractNum>
  <w:abstractNum w:abstractNumId="11">
    <w:nsid w:val="6480510B"/>
    <w:multiLevelType w:val="multilevel"/>
    <w:tmpl w:val="6480510B"/>
    <w:lvl w:ilvl="0" w:tentative="0">
      <w:start w:val="1"/>
      <w:numFmt w:val="decimal"/>
      <w:lvlText w:val="（%1）"/>
      <w:legacy w:legacy="1" w:legacySpace="0" w:legacyIndent="420"/>
      <w:lvlJc w:val="left"/>
      <w:pPr>
        <w:ind w:left="709" w:hanging="420"/>
      </w:pPr>
      <w:rPr>
        <w:rFonts w:hint="default" w:ascii="Times New Roman" w:hAnsi="Times New Roman"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12">
    <w:nsid w:val="64805116"/>
    <w:multiLevelType w:val="multilevel"/>
    <w:tmpl w:val="64805116"/>
    <w:lvl w:ilvl="0" w:tentative="0">
      <w:start w:val="1"/>
      <w:numFmt w:val="japaneseCounting"/>
      <w:lvlText w:val="（%1）"/>
      <w:lvlJc w:val="left"/>
      <w:pPr>
        <w:tabs>
          <w:tab w:val="left" w:pos="0"/>
        </w:tabs>
        <w:ind w:left="1021" w:hanging="720"/>
      </w:pPr>
      <w:rPr>
        <w:rFonts w:hint="default" w:ascii="Times New Roman" w:hAnsi="Times New Roman"/>
      </w:rPr>
    </w:lvl>
    <w:lvl w:ilvl="1" w:tentative="0">
      <w:start w:val="1"/>
      <w:numFmt w:val="lowerLetter"/>
      <w:lvlText w:val="%2)"/>
      <w:lvlJc w:val="left"/>
      <w:pPr>
        <w:tabs>
          <w:tab w:val="left" w:pos="0"/>
        </w:tabs>
        <w:ind w:left="1141" w:hanging="420"/>
      </w:pPr>
      <w:rPr>
        <w:rFonts w:hint="default" w:ascii="Times New Roman" w:hAnsi="Times New Roman"/>
      </w:rPr>
    </w:lvl>
    <w:lvl w:ilvl="2" w:tentative="0">
      <w:start w:val="1"/>
      <w:numFmt w:val="decimal"/>
      <w:lvlText w:val="%3."/>
      <w:lvlJc w:val="right"/>
      <w:pPr>
        <w:tabs>
          <w:tab w:val="left" w:pos="0"/>
        </w:tabs>
        <w:ind w:left="1561" w:hanging="420"/>
      </w:pPr>
      <w:rPr>
        <w:rFonts w:hint="default" w:ascii="Times New Roman" w:hAnsi="Times New Roman"/>
      </w:rPr>
    </w:lvl>
    <w:lvl w:ilvl="3" w:tentative="0">
      <w:start w:val="1"/>
      <w:numFmt w:val="decimal"/>
      <w:lvlText w:val="%4."/>
      <w:lvlJc w:val="left"/>
      <w:pPr>
        <w:tabs>
          <w:tab w:val="left" w:pos="0"/>
        </w:tabs>
        <w:ind w:left="1981" w:hanging="420"/>
      </w:pPr>
      <w:rPr>
        <w:rFonts w:hint="default" w:ascii="Times New Roman" w:hAnsi="Times New Roman"/>
      </w:rPr>
    </w:lvl>
    <w:lvl w:ilvl="4" w:tentative="0">
      <w:start w:val="1"/>
      <w:numFmt w:val="lowerLetter"/>
      <w:lvlText w:val="%5)"/>
      <w:lvlJc w:val="left"/>
      <w:pPr>
        <w:tabs>
          <w:tab w:val="left" w:pos="0"/>
        </w:tabs>
        <w:ind w:left="2401" w:hanging="420"/>
      </w:pPr>
      <w:rPr>
        <w:rFonts w:hint="default" w:ascii="Times New Roman" w:hAnsi="Times New Roman"/>
      </w:rPr>
    </w:lvl>
    <w:lvl w:ilvl="5" w:tentative="0">
      <w:start w:val="1"/>
      <w:numFmt w:val="decimal"/>
      <w:lvlText w:val="%6."/>
      <w:lvlJc w:val="right"/>
      <w:pPr>
        <w:tabs>
          <w:tab w:val="left" w:pos="0"/>
        </w:tabs>
        <w:ind w:left="2821" w:hanging="420"/>
      </w:pPr>
      <w:rPr>
        <w:rFonts w:hint="default" w:ascii="Times New Roman" w:hAnsi="Times New Roman"/>
      </w:rPr>
    </w:lvl>
    <w:lvl w:ilvl="6" w:tentative="0">
      <w:start w:val="1"/>
      <w:numFmt w:val="decimal"/>
      <w:lvlText w:val="%7."/>
      <w:lvlJc w:val="left"/>
      <w:pPr>
        <w:tabs>
          <w:tab w:val="left" w:pos="0"/>
        </w:tabs>
        <w:ind w:left="3241" w:hanging="420"/>
      </w:pPr>
      <w:rPr>
        <w:rFonts w:hint="default" w:ascii="Times New Roman" w:hAnsi="Times New Roman"/>
      </w:rPr>
    </w:lvl>
    <w:lvl w:ilvl="7" w:tentative="0">
      <w:start w:val="1"/>
      <w:numFmt w:val="lowerLetter"/>
      <w:lvlText w:val="%8)"/>
      <w:lvlJc w:val="left"/>
      <w:pPr>
        <w:tabs>
          <w:tab w:val="left" w:pos="0"/>
        </w:tabs>
        <w:ind w:left="3661" w:hanging="420"/>
      </w:pPr>
      <w:rPr>
        <w:rFonts w:hint="default" w:ascii="Times New Roman" w:hAnsi="Times New Roman"/>
      </w:rPr>
    </w:lvl>
    <w:lvl w:ilvl="8" w:tentative="0">
      <w:start w:val="1"/>
      <w:numFmt w:val="decimal"/>
      <w:lvlText w:val="%9."/>
      <w:lvlJc w:val="right"/>
      <w:pPr>
        <w:tabs>
          <w:tab w:val="left" w:pos="0"/>
        </w:tabs>
        <w:ind w:left="4081" w:hanging="420"/>
      </w:pPr>
      <w:rPr>
        <w:rFonts w:hint="default" w:ascii="Times New Roman" w:hAnsi="Times New Roman"/>
      </w:rPr>
    </w:lvl>
  </w:abstractNum>
  <w:abstractNum w:abstractNumId="13">
    <w:nsid w:val="64805121"/>
    <w:multiLevelType w:val="multilevel"/>
    <w:tmpl w:val="64805121"/>
    <w:lvl w:ilvl="0" w:tentative="0">
      <w:start w:val="1"/>
      <w:numFmt w:val="decimal"/>
      <w:lvlText w:val="%1."/>
      <w:lvlJc w:val="left"/>
      <w:pPr>
        <w:tabs>
          <w:tab w:val="left" w:pos="0"/>
        </w:tabs>
        <w:ind w:left="660" w:hanging="360"/>
      </w:pPr>
      <w:rPr>
        <w:rFonts w:hint="default" w:ascii="Times New Roman" w:hAnsi="Times New Roman"/>
      </w:rPr>
    </w:lvl>
    <w:lvl w:ilvl="1" w:tentative="0">
      <w:start w:val="1"/>
      <w:numFmt w:val="lowerLetter"/>
      <w:lvlText w:val="%2)"/>
      <w:lvlJc w:val="left"/>
      <w:pPr>
        <w:tabs>
          <w:tab w:val="left" w:pos="0"/>
        </w:tabs>
        <w:ind w:left="1140" w:hanging="420"/>
      </w:pPr>
      <w:rPr>
        <w:rFonts w:hint="default" w:ascii="Times New Roman" w:hAnsi="Times New Roman"/>
      </w:rPr>
    </w:lvl>
    <w:lvl w:ilvl="2" w:tentative="0">
      <w:start w:val="1"/>
      <w:numFmt w:val="decimal"/>
      <w:lvlText w:val="%3."/>
      <w:lvlJc w:val="right"/>
      <w:pPr>
        <w:tabs>
          <w:tab w:val="left" w:pos="0"/>
        </w:tabs>
        <w:ind w:left="1560" w:hanging="420"/>
      </w:pPr>
      <w:rPr>
        <w:rFonts w:hint="default" w:ascii="Times New Roman" w:hAnsi="Times New Roman"/>
      </w:rPr>
    </w:lvl>
    <w:lvl w:ilvl="3" w:tentative="0">
      <w:start w:val="1"/>
      <w:numFmt w:val="decimal"/>
      <w:lvlText w:val="%4."/>
      <w:lvlJc w:val="left"/>
      <w:pPr>
        <w:tabs>
          <w:tab w:val="left" w:pos="0"/>
        </w:tabs>
        <w:ind w:left="1980" w:hanging="420"/>
      </w:pPr>
      <w:rPr>
        <w:rFonts w:hint="default" w:ascii="Times New Roman" w:hAnsi="Times New Roman"/>
      </w:rPr>
    </w:lvl>
    <w:lvl w:ilvl="4" w:tentative="0">
      <w:start w:val="1"/>
      <w:numFmt w:val="lowerLetter"/>
      <w:lvlText w:val="%5)"/>
      <w:lvlJc w:val="left"/>
      <w:pPr>
        <w:tabs>
          <w:tab w:val="left" w:pos="0"/>
        </w:tabs>
        <w:ind w:left="2400" w:hanging="420"/>
      </w:pPr>
      <w:rPr>
        <w:rFonts w:hint="default" w:ascii="Times New Roman" w:hAnsi="Times New Roman"/>
      </w:rPr>
    </w:lvl>
    <w:lvl w:ilvl="5" w:tentative="0">
      <w:start w:val="1"/>
      <w:numFmt w:val="decimal"/>
      <w:lvlText w:val="%6."/>
      <w:lvlJc w:val="right"/>
      <w:pPr>
        <w:tabs>
          <w:tab w:val="left" w:pos="0"/>
        </w:tabs>
        <w:ind w:left="2820" w:hanging="420"/>
      </w:pPr>
      <w:rPr>
        <w:rFonts w:hint="default" w:ascii="Times New Roman" w:hAnsi="Times New Roman"/>
      </w:rPr>
    </w:lvl>
    <w:lvl w:ilvl="6" w:tentative="0">
      <w:start w:val="1"/>
      <w:numFmt w:val="decimal"/>
      <w:lvlText w:val="%7."/>
      <w:lvlJc w:val="left"/>
      <w:pPr>
        <w:tabs>
          <w:tab w:val="left" w:pos="0"/>
        </w:tabs>
        <w:ind w:left="3240" w:hanging="420"/>
      </w:pPr>
      <w:rPr>
        <w:rFonts w:hint="default" w:ascii="Times New Roman" w:hAnsi="Times New Roman"/>
      </w:rPr>
    </w:lvl>
    <w:lvl w:ilvl="7" w:tentative="0">
      <w:start w:val="1"/>
      <w:numFmt w:val="lowerLetter"/>
      <w:lvlText w:val="%8)"/>
      <w:lvlJc w:val="left"/>
      <w:pPr>
        <w:tabs>
          <w:tab w:val="left" w:pos="0"/>
        </w:tabs>
        <w:ind w:left="3660" w:hanging="420"/>
      </w:pPr>
      <w:rPr>
        <w:rFonts w:hint="default" w:ascii="Times New Roman" w:hAnsi="Times New Roman"/>
      </w:rPr>
    </w:lvl>
    <w:lvl w:ilvl="8" w:tentative="0">
      <w:start w:val="1"/>
      <w:numFmt w:val="decimal"/>
      <w:lvlText w:val="%9."/>
      <w:lvlJc w:val="right"/>
      <w:pPr>
        <w:tabs>
          <w:tab w:val="left" w:pos="0"/>
        </w:tabs>
        <w:ind w:left="4080" w:hanging="420"/>
      </w:pPr>
      <w:rPr>
        <w:rFonts w:hint="default" w:ascii="Times New Roman" w:hAnsi="Times New Roman"/>
      </w:rPr>
    </w:lvl>
  </w:abstractNum>
  <w:num w:numId="1">
    <w:abstractNumId w:val="10"/>
  </w:num>
  <w:num w:numId="2">
    <w:abstractNumId w:val="11"/>
  </w:num>
  <w:num w:numId="3">
    <w:abstractNumId w:val="12"/>
  </w:num>
  <w:num w:numId="4">
    <w:abstractNumId w:val="13"/>
  </w:num>
  <w:num w:numId="5">
    <w:abstractNumId w:val="8"/>
  </w:num>
  <w:num w:numId="6">
    <w:abstractNumId w:val="0"/>
  </w:num>
  <w:num w:numId="7">
    <w:abstractNumId w:val="3"/>
  </w:num>
  <w:num w:numId="8">
    <w:abstractNumId w:val="3"/>
    <w:lvlOverride w:ilvl="0">
      <w:startOverride w:val="1"/>
    </w:lvlOverride>
  </w:num>
  <w:num w:numId="9">
    <w:abstractNumId w:val="7"/>
  </w:num>
  <w:num w:numId="10">
    <w:abstractNumId w:val="4"/>
    <w:lvlOverride w:ilvl="0">
      <w:startOverride w:val="1"/>
    </w:lvlOverride>
  </w:num>
  <w:num w:numId="11">
    <w:abstractNumId w:val="9"/>
  </w:num>
  <w:num w:numId="12">
    <w:abstractNumId w:val="1"/>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95"/>
    <w:rsid w:val="00002295"/>
    <w:rsid w:val="001F5F76"/>
    <w:rsid w:val="00443366"/>
    <w:rsid w:val="2ACD0FE0"/>
    <w:rsid w:val="4424144F"/>
    <w:rsid w:val="526A5CC8"/>
    <w:rsid w:val="5F9E2B17"/>
    <w:rsid w:val="605C064A"/>
    <w:rsid w:val="645E4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6">
    <w:name w:val="toc 5"/>
    <w:basedOn w:val="1"/>
    <w:next w:val="1"/>
    <w:qFormat/>
    <w:uiPriority w:val="0"/>
    <w:pPr>
      <w:ind w:left="1680"/>
    </w:pPr>
  </w:style>
  <w:style w:type="paragraph" w:styleId="7">
    <w:name w:val="toc 3"/>
    <w:basedOn w:val="1"/>
    <w:next w:val="1"/>
    <w:qFormat/>
    <w:uiPriority w:val="0"/>
    <w:pPr>
      <w:ind w:left="840"/>
    </w:pPr>
  </w:style>
  <w:style w:type="paragraph" w:styleId="8">
    <w:name w:val="Balloon Text"/>
    <w:basedOn w:val="1"/>
    <w:link w:val="34"/>
    <w:qFormat/>
    <w:uiPriority w:val="0"/>
  </w:style>
  <w:style w:type="paragraph" w:styleId="9">
    <w:name w:val="footer"/>
    <w:basedOn w:val="1"/>
    <w:qFormat/>
    <w:uiPriority w:val="0"/>
    <w:pPr>
      <w:tabs>
        <w:tab w:val="center" w:pos="4153"/>
        <w:tab w:val="right" w:pos="8307"/>
      </w:tabs>
      <w:snapToGrid w:val="0"/>
      <w:jc w:val="left"/>
    </w:pPr>
  </w:style>
  <w:style w:type="paragraph" w:styleId="10">
    <w:name w:val="header"/>
    <w:basedOn w:val="1"/>
    <w:qFormat/>
    <w:uiPriority w:val="0"/>
    <w:pPr>
      <w:pBdr>
        <w:bottom w:val="single" w:color="auto" w:sz="6" w:space="1"/>
      </w:pBdr>
      <w:tabs>
        <w:tab w:val="center" w:pos="4153"/>
        <w:tab w:val="right" w:pos="8307"/>
      </w:tabs>
      <w:snapToGrid w:val="0"/>
      <w:jc w:val="center"/>
    </w:pPr>
  </w:style>
  <w:style w:type="paragraph" w:styleId="11">
    <w:name w:val="toc 1"/>
    <w:basedOn w:val="1"/>
    <w:next w:val="1"/>
    <w:qFormat/>
    <w:uiPriority w:val="0"/>
  </w:style>
  <w:style w:type="paragraph" w:styleId="12">
    <w:name w:val="toc 4"/>
    <w:basedOn w:val="1"/>
    <w:next w:val="1"/>
    <w:qFormat/>
    <w:uiPriority w:val="0"/>
    <w:pPr>
      <w:ind w:left="1260"/>
    </w:pPr>
  </w:style>
  <w:style w:type="paragraph" w:styleId="13">
    <w:name w:val="toc 2"/>
    <w:basedOn w:val="1"/>
    <w:next w:val="1"/>
    <w:qFormat/>
    <w:uiPriority w:val="0"/>
    <w:pPr>
      <w:ind w:left="420"/>
    </w:pPr>
  </w:style>
  <w:style w:type="paragraph" w:styleId="14">
    <w:name w:val="Normal (Web)"/>
    <w:next w:val="11"/>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table" w:styleId="16">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Hyperlink"/>
    <w:qFormat/>
    <w:uiPriority w:val="99"/>
    <w:rPr>
      <w:color w:val="0000FF"/>
      <w:u w:val="single"/>
    </w:rPr>
  </w:style>
  <w:style w:type="paragraph" w:customStyle="1" w:styleId="19">
    <w:name w:val="引文目录1"/>
    <w:next w:val="1"/>
    <w:qFormat/>
    <w:uiPriority w:val="0"/>
    <w:pPr>
      <w:widowControl w:val="0"/>
      <w:spacing w:before="100" w:beforeAutospacing="1" w:after="100" w:afterAutospacing="1"/>
      <w:ind w:left="200" w:leftChars="200"/>
      <w:jc w:val="both"/>
      <w:textAlignment w:val="baseline"/>
    </w:pPr>
    <w:rPr>
      <w:rFonts w:ascii="Times New Roman" w:hAnsi="Times New Roman" w:eastAsia="宋体" w:cs="Times New Roman"/>
      <w:kern w:val="2"/>
      <w:sz w:val="21"/>
      <w:szCs w:val="21"/>
      <w:lang w:val="en-US" w:eastAsia="zh-CN" w:bidi="ar-SA"/>
    </w:rPr>
  </w:style>
  <w:style w:type="paragraph" w:customStyle="1" w:styleId="20">
    <w:name w:val="Normale333cc0f"/>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heading 12f9f2622"/>
    <w:basedOn w:val="20"/>
    <w:next w:val="1"/>
    <w:qFormat/>
    <w:uiPriority w:val="0"/>
    <w:pPr>
      <w:keepNext/>
      <w:keepLines/>
      <w:spacing w:before="340" w:after="330" w:line="578" w:lineRule="auto"/>
      <w:outlineLvl w:val="0"/>
    </w:pPr>
    <w:rPr>
      <w:b/>
      <w:bCs/>
      <w:kern w:val="44"/>
      <w:sz w:val="44"/>
    </w:rPr>
  </w:style>
  <w:style w:type="paragraph" w:customStyle="1" w:styleId="22">
    <w:name w:val="heading 2fdf9ee37"/>
    <w:basedOn w:val="20"/>
    <w:next w:val="1"/>
    <w:qFormat/>
    <w:uiPriority w:val="0"/>
    <w:pPr>
      <w:keepNext/>
      <w:keepLines/>
      <w:spacing w:before="260" w:after="260" w:line="415" w:lineRule="auto"/>
      <w:outlineLvl w:val="1"/>
    </w:pPr>
    <w:rPr>
      <w:rFonts w:ascii="Luxi Sans" w:hAnsi="Luxi Sans" w:eastAsia="黑体"/>
      <w:b/>
      <w:sz w:val="32"/>
    </w:rPr>
  </w:style>
  <w:style w:type="paragraph" w:customStyle="1" w:styleId="23">
    <w:name w:val="heading 3b7c5a3da"/>
    <w:basedOn w:val="20"/>
    <w:next w:val="1"/>
    <w:qFormat/>
    <w:uiPriority w:val="0"/>
    <w:pPr>
      <w:keepNext/>
      <w:keepLines/>
      <w:spacing w:before="260" w:after="260" w:line="415" w:lineRule="auto"/>
      <w:outlineLvl w:val="2"/>
    </w:pPr>
    <w:rPr>
      <w:b/>
      <w:sz w:val="32"/>
    </w:rPr>
  </w:style>
  <w:style w:type="character" w:customStyle="1" w:styleId="24">
    <w:name w:val="Default Paragraph Fontf96287fe"/>
    <w:qFormat/>
    <w:uiPriority w:val="0"/>
  </w:style>
  <w:style w:type="paragraph" w:customStyle="1" w:styleId="25">
    <w:name w:val="引文目录174df312c"/>
    <w:basedOn w:val="20"/>
    <w:next w:val="1"/>
    <w:qFormat/>
    <w:uiPriority w:val="0"/>
    <w:pPr>
      <w:ind w:left="200" w:leftChars="200"/>
    </w:pPr>
  </w:style>
  <w:style w:type="paragraph" w:customStyle="1" w:styleId="26">
    <w:name w:val="toc 5f707baf1"/>
    <w:basedOn w:val="20"/>
    <w:next w:val="1"/>
    <w:qFormat/>
    <w:uiPriority w:val="0"/>
    <w:pPr>
      <w:ind w:left="1680"/>
    </w:pPr>
  </w:style>
  <w:style w:type="paragraph" w:customStyle="1" w:styleId="27">
    <w:name w:val="toc 327b8c50c"/>
    <w:basedOn w:val="20"/>
    <w:next w:val="1"/>
    <w:qFormat/>
    <w:uiPriority w:val="0"/>
    <w:pPr>
      <w:ind w:left="840"/>
    </w:pPr>
  </w:style>
  <w:style w:type="paragraph" w:customStyle="1" w:styleId="28">
    <w:name w:val="footer603df539"/>
    <w:basedOn w:val="20"/>
    <w:qFormat/>
    <w:uiPriority w:val="0"/>
    <w:pPr>
      <w:tabs>
        <w:tab w:val="center" w:pos="4153"/>
        <w:tab w:val="right" w:pos="8307"/>
      </w:tabs>
      <w:snapToGrid w:val="0"/>
      <w:jc w:val="left"/>
    </w:pPr>
    <w:rPr>
      <w:sz w:val="18"/>
    </w:rPr>
  </w:style>
  <w:style w:type="paragraph" w:customStyle="1" w:styleId="29">
    <w:name w:val="header58231fbf"/>
    <w:basedOn w:val="20"/>
    <w:qFormat/>
    <w:uiPriority w:val="0"/>
    <w:pPr>
      <w:pBdr>
        <w:bottom w:val="single" w:color="auto" w:sz="6" w:space="1"/>
      </w:pBdr>
      <w:tabs>
        <w:tab w:val="center" w:pos="4153"/>
        <w:tab w:val="right" w:pos="8307"/>
      </w:tabs>
      <w:snapToGrid w:val="0"/>
      <w:jc w:val="center"/>
    </w:pPr>
    <w:rPr>
      <w:sz w:val="18"/>
    </w:rPr>
  </w:style>
  <w:style w:type="paragraph" w:customStyle="1" w:styleId="30">
    <w:name w:val="toc 103e95182"/>
    <w:basedOn w:val="20"/>
    <w:next w:val="1"/>
    <w:qFormat/>
    <w:uiPriority w:val="0"/>
  </w:style>
  <w:style w:type="paragraph" w:customStyle="1" w:styleId="31">
    <w:name w:val="toc 4e61e48cc"/>
    <w:basedOn w:val="20"/>
    <w:next w:val="1"/>
    <w:qFormat/>
    <w:uiPriority w:val="0"/>
    <w:pPr>
      <w:ind w:left="1260"/>
    </w:pPr>
  </w:style>
  <w:style w:type="paragraph" w:customStyle="1" w:styleId="32">
    <w:name w:val="toc 251af8f24"/>
    <w:basedOn w:val="20"/>
    <w:next w:val="1"/>
    <w:qFormat/>
    <w:uiPriority w:val="0"/>
    <w:pPr>
      <w:ind w:left="420"/>
    </w:pPr>
  </w:style>
  <w:style w:type="paragraph" w:customStyle="1" w:styleId="33">
    <w:name w:val="列出段落1db63c288"/>
    <w:next w:val="13"/>
    <w:qFormat/>
    <w:uiPriority w:val="0"/>
    <w:pPr>
      <w:widowControl w:val="0"/>
      <w:ind w:firstLine="200" w:firstLineChars="200"/>
      <w:jc w:val="both"/>
    </w:pPr>
    <w:rPr>
      <w:rFonts w:ascii="Times New Roman" w:hAnsi="Times New Roman" w:eastAsia="宋体" w:cs="Times New Roman"/>
      <w:kern w:val="2"/>
      <w:sz w:val="21"/>
      <w:szCs w:val="21"/>
      <w:lang w:val="en-US" w:eastAsia="zh-CN" w:bidi="ar-SA"/>
    </w:rPr>
  </w:style>
  <w:style w:type="character" w:customStyle="1" w:styleId="34">
    <w:name w:val="批注框文本 字符"/>
    <w:basedOn w:val="17"/>
    <w:link w:val="8"/>
    <w:qFormat/>
    <w:uiPriority w:val="0"/>
    <w:rPr>
      <w:kern w:val="2"/>
      <w:sz w:val="18"/>
      <w:szCs w:val="18"/>
    </w:rPr>
  </w:style>
  <w:style w:type="paragraph" w:customStyle="1" w:styleId="35">
    <w:name w:val="Normal02e628f7"/>
    <w:qFormat/>
    <w:uiPriority w:val="0"/>
    <w:pPr>
      <w:widowControl w:val="0"/>
      <w:jc w:val="both"/>
    </w:pPr>
    <w:rPr>
      <w:rFonts w:ascii="Calibri" w:hAnsi="Calibri" w:eastAsia="宋体" w:cs="Times New Roman"/>
      <w:kern w:val="2"/>
      <w:sz w:val="21"/>
      <w:szCs w:val="21"/>
      <w:lang w:val="en-US" w:eastAsia="zh-CN" w:bidi="ar-SA"/>
    </w:rPr>
  </w:style>
  <w:style w:type="paragraph" w:customStyle="1" w:styleId="36">
    <w:name w:val="annotation text23"/>
    <w:next w:val="11"/>
    <w:qFormat/>
    <w:uiPriority w:val="0"/>
    <w:pPr>
      <w:widowControl w:val="0"/>
    </w:pPr>
    <w:rPr>
      <w:rFonts w:ascii="Calibri" w:hAnsi="Calibri" w:eastAsia="宋体" w:cs="Times New Roman"/>
      <w:kern w:val="2"/>
      <w:sz w:val="21"/>
      <w:szCs w:val="21"/>
      <w:lang w:val="en-US" w:eastAsia="zh-CN" w:bidi="ar-SA"/>
    </w:rPr>
  </w:style>
  <w:style w:type="character" w:customStyle="1" w:styleId="37">
    <w:name w:val="fontstyle01"/>
    <w:qFormat/>
    <w:uiPriority w:val="0"/>
    <w:rPr>
      <w:rFonts w:hint="default" w:ascii="MicrosoftYaHei_PDF_Subset" w:hAnsi="MicrosoftYaHei_PDF_Subset"/>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3594</Words>
  <Characters>20486</Characters>
  <Lines>170</Lines>
  <Paragraphs>48</Paragraphs>
  <TotalTime>0</TotalTime>
  <ScaleCrop>false</ScaleCrop>
  <LinksUpToDate>false</LinksUpToDate>
  <CharactersWithSpaces>24032</CharactersWithSpaces>
  <Application>WPS Office_5.3.0.7872_F1E327BC-269C-435d-A152-05C5408002CA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2023-06-20T13:57:00Z</dcterms:created>
  <dc:creator>HP</dc:creator>
  <cp:lastModifiedBy>ferrero</cp:lastModifiedBy>
  <dcterms:modified xsi:type="dcterms:W3CDTF">2023-07-16T19:50:41Z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2052-5.3.0.7872</vt:lpwstr>
  </property>
  <property fmtid="{D5CDD505-2E9C-101B-9397-08002B2CF9AE}" pid="3" name="ICV">
    <vt:lpwstr>02AEF6DED8204361AEB85E71A6BDE641</vt:lpwstr>
  </property>
</Properties>
</file>