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2019</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Z70022210001</w:t>
      </w:r>
      <w:r>
        <w:rPr>
          <w:rFonts w:hint="eastAsia" w:ascii="宋体" w:hAnsi="Wingdings" w:cs="宋体"/>
          <w:color w:val="000000"/>
          <w:kern w:val="0"/>
          <w:lang w:val="en-US" w:eastAsia="zh-CN"/>
        </w:rPr>
        <w:t>84</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2019</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2019</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该产品在全国银行业理财信息登记系统的原登记编码是C1092020000653，</w:t>
            </w:r>
            <w:r>
              <w:rPr>
                <w:rFonts w:hint="eastAsia" w:ascii="宋体" w:hAnsi="宋体" w:cs="宋体"/>
              </w:rPr>
              <w:t>变更登记后为〖</w:t>
            </w:r>
            <w:r>
              <w:rPr>
                <w:rFonts w:ascii="宋体" w:hAnsi="宋体" w:cs="宋体"/>
              </w:rPr>
              <w:t>Z70022210001</w:t>
            </w:r>
            <w:r>
              <w:rPr>
                <w:rFonts w:hint="eastAsia" w:ascii="宋体" w:hAnsi="宋体" w:cs="宋体"/>
                <w:lang w:val="en-US" w:eastAsia="zh-CN"/>
              </w:rPr>
              <w:t>84</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2020年6月17日至2020年6月23日。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2020年6月24日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首次开放期为2020年12月16日至2020年12月22日，首个确认日为2020年12月23日。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w:t>
            </w:r>
            <w:r>
              <w:rPr>
                <w:rFonts w:hint="eastAsia" w:ascii="宋体" w:hAnsi="宋体" w:cs="宋体"/>
                <w:color w:val="000000"/>
                <w:kern w:val="0"/>
                <w:lang w:val="en-US" w:eastAsia="zh-CN"/>
              </w:rPr>
              <w:t>2.35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88"/>
        <w:gridCol w:w="1325"/>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13"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w:t>
      </w:r>
      <w:r>
        <w:rPr>
          <w:rFonts w:hint="eastAsia" w:ascii="宋体" w:hAnsi="宋体"/>
          <w:kern w:val="0"/>
          <w:lang w:eastAsia="zh-CN"/>
        </w:rPr>
        <w:t>、</w:t>
      </w:r>
      <w:r>
        <w:rPr>
          <w:rFonts w:hint="eastAsia" w:ascii="宋体" w:hAnsi="宋体"/>
          <w:kern w:val="0"/>
        </w:rPr>
        <w:t>理财计划投资协议书</w:t>
      </w:r>
      <w:r>
        <w:rPr>
          <w:rFonts w:hint="eastAsia" w:ascii="宋体" w:hAnsi="宋体"/>
          <w:kern w:val="0"/>
          <w:lang w:val="en-US" w:eastAsia="zh-CN"/>
        </w:rPr>
        <w:t>和理财计划销售协议书</w:t>
      </w:r>
      <w:r>
        <w:rPr>
          <w:rFonts w:hint="eastAsia" w:ascii="宋体" w:hAnsi="宋体"/>
          <w:kern w:val="0"/>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4"/>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4"/>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Pr>
        <w:spacing w:line="520" w:lineRule="exact"/>
        <w:ind w:firstLine="0" w:firstLineChars="0"/>
        <w:rPr>
          <w:rFonts w:hint="eastAsia" w:ascii="宋体" w:hAnsi="Wingdings" w:cs="宋体"/>
          <w:color w:val="000000"/>
          <w:kern w:val="0"/>
        </w:rPr>
      </w:pPr>
      <w:bookmarkStart w:id="3" w:name="_GoBack"/>
      <w:bookmarkEnd w:id="3"/>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特别提示：杭银理财理财计划投资协议书与杭银理财理财计划</w:t>
      </w:r>
      <w:r>
        <w:rPr>
          <w:rFonts w:hint="eastAsia" w:ascii="宋体" w:hAnsi="宋体"/>
          <w:b/>
          <w:bCs/>
          <w:lang w:val="en-US" w:eastAsia="zh-CN"/>
        </w:rPr>
        <w:t>销售</w:t>
      </w:r>
      <w:r>
        <w:rPr>
          <w:rFonts w:hint="eastAsia" w:ascii="宋体" w:hAnsi="宋体"/>
          <w:b/>
          <w:bCs/>
        </w:rPr>
        <w:t>协议书</w:t>
      </w:r>
      <w:r>
        <w:rPr>
          <w:rFonts w:hint="eastAsia" w:ascii="宋体" w:hAnsi="宋体"/>
          <w:b/>
          <w:bCs/>
          <w:lang w:eastAsia="zh-CN"/>
        </w:rPr>
        <w:t>、</w:t>
      </w:r>
      <w:r>
        <w:rPr>
          <w:rFonts w:hint="eastAsia" w:ascii="宋体" w:hAnsi="宋体"/>
          <w:b/>
          <w:bCs/>
        </w:rPr>
        <w:t>投资者权益须知、风险揭示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6"/>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详见理财计划说明书“释义”部分。</w:t>
      </w:r>
    </w:p>
    <w:p>
      <w:pPr>
        <w:numPr>
          <w:ilvl w:val="0"/>
          <w:numId w:val="26"/>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7"/>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7"/>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7"/>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7"/>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7"/>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7"/>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7"/>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8"/>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8"/>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8"/>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8"/>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8"/>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8"/>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8"/>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29"/>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29"/>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9"/>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9"/>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29"/>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9"/>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6"/>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30"/>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0"/>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0"/>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0"/>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0"/>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30"/>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31"/>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31"/>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1"/>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1"/>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2"/>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numPr>
          <w:ilvl w:val="0"/>
          <w:numId w:val="32"/>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2"/>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hint="eastAsia" w:ascii="宋体" w:hAnsi="Wingdings"/>
          <w:color w:val="000000"/>
          <w:kern w:val="0"/>
          <w:sz w:val="21"/>
          <w:szCs w:val="21"/>
        </w:rPr>
      </w:pPr>
      <w:r>
        <w:rPr>
          <w:rFonts w:hint="eastAsia" w:ascii="宋体" w:hAnsi="宋体"/>
          <w:kern w:val="0"/>
          <w:sz w:val="21"/>
          <w:szCs w:val="21"/>
        </w:rPr>
        <w:t>杭银理财有限责任公司</w:t>
      </w: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pStyle w:val="10"/>
        <w:widowControl/>
        <w:spacing w:line="360" w:lineRule="auto"/>
        <w:jc w:val="center"/>
        <w:rPr>
          <w:rFonts w:ascii="宋体" w:hAnsi="宋体" w:cs="宋体"/>
          <w:kern w:val="0"/>
          <w:sz w:val="21"/>
          <w:szCs w:val="21"/>
        </w:rPr>
      </w:pPr>
      <w:r>
        <w:rPr>
          <w:rFonts w:hint="eastAsia" w:ascii="宋体" w:hAnsi="宋体" w:cs="宋体"/>
          <w:b/>
          <w:sz w:val="32"/>
          <w:szCs w:val="32"/>
        </w:rPr>
        <w:t>杭银理财理财计划销售协议书</w:t>
      </w:r>
    </w:p>
    <w:p>
      <w:pPr>
        <w:jc w:val="center"/>
        <w:rPr>
          <w:rFonts w:ascii="宋体" w:hAnsi="宋体" w:cs="宋体"/>
        </w:rPr>
      </w:pPr>
      <w:r>
        <w:rPr>
          <w:rFonts w:hint="eastAsia" w:ascii="宋体" w:hAnsi="宋体" w:cs="宋体"/>
          <w:szCs w:val="21"/>
        </w:rPr>
        <w:t>（202101版）</w:t>
      </w:r>
    </w:p>
    <w:p>
      <w:pPr>
        <w:autoSpaceDE w:val="0"/>
        <w:spacing w:line="360" w:lineRule="auto"/>
        <w:jc w:val="center"/>
      </w:pPr>
    </w:p>
    <w:p>
      <w:pPr>
        <w:autoSpaceDE w:val="0"/>
        <w:spacing w:line="360" w:lineRule="auto"/>
        <w:ind w:firstLine="422" w:firstLineChars="200"/>
        <w:rPr>
          <w:rFonts w:ascii="宋体" w:hAnsi="宋体"/>
          <w:b/>
          <w:sz w:val="21"/>
        </w:rPr>
      </w:pPr>
      <w:r>
        <w:rPr>
          <w:rFonts w:hint="eastAsia" w:ascii="宋体" w:hAnsi="宋体"/>
          <w:b/>
          <w:sz w:val="21"/>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b/>
          <w:sz w:val="21"/>
        </w:rPr>
      </w:pPr>
      <w:r>
        <w:rPr>
          <w:rFonts w:hint="eastAsia" w:ascii="宋体" w:hAnsi="宋体"/>
          <w:b/>
          <w:sz w:val="21"/>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sz w:val="21"/>
        </w:rPr>
      </w:pPr>
      <w:r>
        <w:rPr>
          <w:rFonts w:hint="eastAsia" w:ascii="宋体" w:hAnsi="宋体"/>
          <w:sz w:val="21"/>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sz w:val="21"/>
        </w:rPr>
      </w:pPr>
      <w:r>
        <w:rPr>
          <w:rFonts w:hint="eastAsia" w:ascii="宋体" w:hAnsi="宋体"/>
          <w:sz w:val="21"/>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sz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名词释义</w:t>
      </w:r>
    </w:p>
    <w:p>
      <w:pPr>
        <w:widowControl/>
        <w:autoSpaceDE w:val="0"/>
        <w:spacing w:line="360" w:lineRule="auto"/>
        <w:ind w:firstLine="420" w:firstLineChars="200"/>
        <w:jc w:val="left"/>
        <w:rPr>
          <w:rFonts w:ascii="宋体" w:hAnsi="宋体"/>
          <w:sz w:val="21"/>
        </w:rPr>
      </w:pPr>
      <w:r>
        <w:rPr>
          <w:rFonts w:hint="eastAsia" w:ascii="宋体" w:hAnsi="宋体"/>
          <w:sz w:val="21"/>
        </w:rPr>
        <w:t>详见对应期次的理财计划产品说明书“释义”部分。</w:t>
      </w:r>
    </w:p>
    <w:p>
      <w:pPr>
        <w:widowControl/>
        <w:autoSpaceDE w:val="0"/>
        <w:spacing w:line="360" w:lineRule="auto"/>
        <w:ind w:firstLine="420" w:firstLineChars="200"/>
        <w:jc w:val="left"/>
        <w:rPr>
          <w:rFonts w:ascii="宋体" w:hAnsi="宋体"/>
          <w:sz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投资者权利与义务</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sz w:val="21"/>
          <w:szCs w:val="21"/>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投资者保证自身完全了解理财投资的性质，投资所涉及的风险以及自身风险承受能力，在慎重考虑后独立作出交易决定。</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b/>
          <w:sz w:val="21"/>
          <w:szCs w:val="21"/>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sz w:val="21"/>
          <w:szCs w:val="21"/>
        </w:rPr>
        <w:t>投资冷静期相关约定详见理财计划产品说明书。</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投资者保证其有权利签署本协议和履行本协议所述的义务，并已为此采取一切所需的行为。</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b/>
          <w:sz w:val="21"/>
          <w:szCs w:val="21"/>
        </w:rPr>
        <w:t>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sz w:val="21"/>
          <w:szCs w:val="21"/>
        </w:rPr>
        <w:t>。</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本协议终止前，投资者不得将授权指定账户销户。若发生因投资者注销授权指定账户造成理财计划无法正常兑付的，代理销售机构不承担任何责任。</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投资者对本协议及其条款负有保密义务，未经代理销售机构书面许可，不得向任何组织、个人提供或泄露与代理销售机构有关的业务资料及信息，但法律、法规另有规定的除外。</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投资者进行投资时，应严格遵守反洗钱相关法规的规定，切实履行反洗钱及反恐怖融资义务。</w:t>
      </w:r>
    </w:p>
    <w:p>
      <w:pPr>
        <w:pStyle w:val="10"/>
        <w:widowControl/>
        <w:numPr>
          <w:ilvl w:val="0"/>
          <w:numId w:val="34"/>
        </w:numPr>
        <w:spacing w:line="360" w:lineRule="auto"/>
        <w:contextualSpacing/>
        <w:rPr>
          <w:rFonts w:ascii="宋体" w:hAnsi="宋体" w:cs="黑体"/>
          <w:b/>
          <w:sz w:val="21"/>
          <w:szCs w:val="21"/>
        </w:rPr>
      </w:pPr>
      <w:r>
        <w:rPr>
          <w:rFonts w:hint="eastAsia" w:ascii="宋体" w:hAnsi="宋体" w:cs="黑体"/>
          <w:b/>
          <w:sz w:val="21"/>
          <w:szCs w:val="21"/>
        </w:rPr>
        <w:t>投资者个人信息授权</w:t>
      </w:r>
    </w:p>
    <w:p>
      <w:pPr>
        <w:pStyle w:val="10"/>
        <w:widowControl/>
        <w:spacing w:line="360" w:lineRule="auto"/>
        <w:ind w:firstLine="422" w:firstLineChars="200"/>
        <w:rPr>
          <w:rFonts w:ascii="宋体" w:hAnsi="宋体" w:cs="黑体"/>
          <w:b/>
          <w:sz w:val="21"/>
          <w:szCs w:val="21"/>
        </w:rPr>
      </w:pPr>
      <w:r>
        <w:rPr>
          <w:rFonts w:hint="eastAsia" w:ascii="宋体" w:hAnsi="宋体" w:cs="黑体"/>
          <w:b/>
          <w:sz w:val="21"/>
          <w:szCs w:val="21"/>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pStyle w:val="10"/>
        <w:widowControl/>
        <w:spacing w:line="360" w:lineRule="auto"/>
        <w:ind w:firstLine="422" w:firstLineChars="200"/>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代理销售机构的权利与义务</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b/>
          <w:sz w:val="21"/>
          <w:szCs w:val="21"/>
        </w:rPr>
        <w:t>代理销售机构非本计划的发行、管理机构，对本计划的业绩不承担任何保证和其他经济责任，不承担本计划的投资、兑付和风险管理责任</w:t>
      </w:r>
      <w:r>
        <w:rPr>
          <w:rFonts w:hint="eastAsia" w:ascii="宋体" w:hAnsi="宋体" w:cs="黑体"/>
          <w:sz w:val="21"/>
          <w:szCs w:val="21"/>
        </w:rPr>
        <w:t>。</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代理销售机构应定期对购买其代理销售的理财计划的非机构投资者进行有效风险承受能力评估，并保证向投资者推介及销售与其风险承受能力匹配的产品。</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代理销售机构应建立健全上岗资格、持续培训、信息公示与查询核实等制度并有效执行。未经代理销售机构进行上岗资格认定并签订劳动合同，任何人员不得从事理财计划销售业务活动。</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代理销售机构应对所有销售人员信息进行登记和公示。销售人员在向投资者宣传销售理财计划前进行自我介绍并告知信息查询和核实渠道，便于投资者查询核实，防止伪冒身份和虚假宣传。</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代理销售机构对投资者负有信息保密义务，未经投资者书面许可，乙方不得向任何组织、个人提供或泄露与甲方有关的业务资料及信息，但法律、法规另有规定的除外。</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代理销售机构应按照法律法规、监管规定、理财计划合同的约定收取销售费用，并如实核算、记账。未经载明，不得对不同投资者适用不同费率。</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理财计划销售结算资金属于理财计划投资者，代理销售机构不得挪用理财计划销售结算资金或将理财计划销售结算资金归入自有资产。</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代理销售机构应遵守相关法律、法规、监管规定及理财计划合同约定，诚实守信、勤勉尽责，向购买理财计划的投资者充分传递管理人披露的产品相关信息并进行充分的风险揭示。</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代理销售机构应当充分利用科技手段，加强对伪冒网站、伪冒产品等监测，有效防范各类欺诈风险。</w:t>
      </w:r>
    </w:p>
    <w:p>
      <w:pPr>
        <w:pStyle w:val="10"/>
        <w:widowControl/>
        <w:autoSpaceDE w:val="0"/>
        <w:spacing w:line="360" w:lineRule="auto"/>
        <w:ind w:left="482"/>
        <w:contextualSpacing/>
        <w:jc w:val="left"/>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理财计划认（申）购、赎回及终止</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理财计划认/申购办理流程：参照投资者权益须知约定。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理财计划认/申购确认：管理人根据代理销售渠道提供的交易信息及资金划付对投资者相应认/申购进行确认。</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理财计划投资品种、投资起点金额、收益支付方式：参照对应期次的理财计划产品说明书中的条款约定。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pStyle w:val="10"/>
        <w:widowControl/>
        <w:autoSpaceDE w:val="0"/>
        <w:spacing w:line="360" w:lineRule="auto"/>
        <w:ind w:left="178" w:leftChars="85"/>
        <w:contextualSpacing/>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违约责任及免责条款</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若由于代理销售机构过错导致理财计划资产发生损失，代理销售机构应按其过错承担赔偿责任，代理销售机构赔偿的款项计入理财计划的资产和收益。</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因国家有关法律、法规、规章、政策的修改或新的法律、法规、规章、政策颁布以及紧急措施的出台导致的风险及损失，代理销售机构不承担责任。</w:t>
      </w:r>
    </w:p>
    <w:p>
      <w:pPr>
        <w:pStyle w:val="10"/>
        <w:widowControl/>
        <w:autoSpaceDE w:val="0"/>
        <w:spacing w:line="360" w:lineRule="auto"/>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适用法律与争议解决</w:t>
      </w:r>
    </w:p>
    <w:p>
      <w:pPr>
        <w:pStyle w:val="10"/>
        <w:widowControl/>
        <w:autoSpaceDE w:val="0"/>
        <w:spacing w:line="360" w:lineRule="auto"/>
        <w:ind w:firstLine="420" w:firstLineChars="200"/>
        <w:rPr>
          <w:rFonts w:ascii="宋体" w:hAnsi="宋体" w:cs="黑体"/>
          <w:sz w:val="21"/>
          <w:szCs w:val="21"/>
        </w:rPr>
      </w:pPr>
      <w:r>
        <w:rPr>
          <w:rFonts w:hint="eastAsia" w:ascii="宋体" w:hAnsi="宋体" w:cs="黑体"/>
          <w:sz w:val="21"/>
          <w:szCs w:val="21"/>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pStyle w:val="10"/>
        <w:widowControl/>
        <w:autoSpaceDE w:val="0"/>
        <w:spacing w:line="360" w:lineRule="auto"/>
        <w:ind w:firstLine="422" w:firstLineChars="200"/>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协议生效和终止</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 xml:space="preserve">投资者和代理销售机构双方认可本协议可以纸质或电子数据等形式提交、订立或确认。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 xml:space="preserve">本协议书以纸质书面形式订立的，自投资者签字和代理销售机构签章之后立即生效。协议一式叁份，投资者、管理人和代理销售机构各执壹份，具有同等法律效力。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投资者和代理销售机构双方在本协议及对应期次的理财计划产品说明书项下权利义务履行完毕之日，本协议自动终止。</w:t>
      </w:r>
    </w:p>
    <w:p>
      <w:pPr>
        <w:pStyle w:val="10"/>
        <w:widowControl/>
        <w:autoSpaceDE w:val="0"/>
        <w:spacing w:line="360" w:lineRule="auto"/>
        <w:ind w:left="420"/>
        <w:contextualSpacing/>
        <w:rPr>
          <w:rFonts w:ascii="宋体" w:hAnsi="宋体" w:cs="黑体"/>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 xml:space="preserve">附则 </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如果由于任何原因使本合同下的任何条款或内容成为无效或被依法撤销，本合同其他条款或内容的合法性、有效性和可执行性不受影响。</w:t>
      </w:r>
    </w:p>
    <w:p>
      <w:pPr>
        <w:pStyle w:val="10"/>
        <w:widowControl/>
        <w:numPr>
          <w:ilvl w:val="0"/>
          <w:numId w:val="39"/>
        </w:numPr>
        <w:autoSpaceDE w:val="0"/>
        <w:spacing w:line="360" w:lineRule="auto"/>
        <w:contextualSpacing/>
        <w:rPr>
          <w:rFonts w:ascii="宋体" w:hAnsi="宋体" w:cs="宋体"/>
          <w:sz w:val="21"/>
          <w:szCs w:val="21"/>
        </w:rPr>
      </w:pPr>
      <w:r>
        <w:rPr>
          <w:rFonts w:hint="eastAsia" w:ascii="宋体" w:hAnsi="宋体" w:cs="黑体"/>
          <w:sz w:val="21"/>
          <w:szCs w:val="21"/>
        </w:rPr>
        <w:t>在理财计划存续期内，如因监管政策或法律法规发生变化，在不损害投资者利益的前提下，管理人有权单方对理财计划合同销售文件进行修订。</w:t>
      </w:r>
    </w:p>
    <w:p>
      <w:pPr>
        <w:pStyle w:val="10"/>
        <w:widowControl/>
        <w:tabs>
          <w:tab w:val="left" w:pos="0"/>
        </w:tabs>
        <w:autoSpaceDE w:val="0"/>
        <w:spacing w:line="360" w:lineRule="auto"/>
        <w:ind w:left="420"/>
        <w:contextualSpacing/>
        <w:rPr>
          <w:rFonts w:ascii="宋体" w:hAnsi="宋体" w:cs="宋体"/>
          <w:sz w:val="21"/>
          <w:szCs w:val="21"/>
        </w:rPr>
      </w:pPr>
    </w:p>
    <w:p>
      <w:pPr>
        <w:widowControl/>
        <w:spacing w:line="360" w:lineRule="auto"/>
        <w:jc w:val="right"/>
        <w:rPr>
          <w:rFonts w:ascii="宋体" w:hAnsi="宋体" w:cs="宋体"/>
          <w:color w:val="000000"/>
          <w:kern w:val="0"/>
          <w:sz w:val="21"/>
        </w:rPr>
      </w:pPr>
      <w:r>
        <w:rPr>
          <w:rFonts w:hint="eastAsia" w:ascii="宋体" w:hAnsi="宋体" w:cs="宋体"/>
          <w:kern w:val="0"/>
          <w:sz w:val="21"/>
        </w:rPr>
        <w:t>杭银理财有限责任公司</w:t>
      </w:r>
    </w:p>
    <w:p>
      <w:pPr>
        <w:spacing w:line="360" w:lineRule="auto"/>
        <w:rPr>
          <w:rFonts w:ascii="宋体" w:hAnsi="宋体"/>
          <w:sz w:val="21"/>
        </w:rPr>
      </w:pPr>
      <w:r>
        <w:rPr>
          <w:rFonts w:hint="eastAsia" w:ascii="宋体" w:hAnsi="宋体" w:cs="Times New Roman"/>
          <w:color w:val="000000"/>
          <w:sz w:val="21"/>
        </w:rPr>
        <w:br w:type="page"/>
      </w:r>
      <w:r>
        <w:rPr>
          <w:rFonts w:hint="eastAsia" w:ascii="宋体" w:hAnsi="宋体"/>
          <w:sz w:val="21"/>
        </w:rPr>
        <w:t>本页为纸质形式（如有）销售协议书签章页</w:t>
      </w: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rFonts w:ascii="宋体" w:hAnsi="宋体"/>
          <w:b/>
          <w:sz w:val="21"/>
        </w:rPr>
      </w:pPr>
      <w:r>
        <w:rPr>
          <w:rFonts w:hint="eastAsia" w:ascii="宋体" w:hAnsi="宋体"/>
          <w:b/>
          <w:sz w:val="21"/>
        </w:rPr>
        <w:t>投资者（签字）：</w:t>
      </w:r>
    </w:p>
    <w:p>
      <w:pPr>
        <w:spacing w:beforeLines="50" w:afterLines="50" w:line="360" w:lineRule="auto"/>
        <w:ind w:firstLine="4200" w:firstLineChars="2000"/>
        <w:jc w:val="right"/>
        <w:rPr>
          <w:rFonts w:ascii="Arial" w:hAnsi="Arial" w:cs="Times New Roman"/>
          <w:sz w:val="21"/>
        </w:rPr>
      </w:pPr>
      <w:r>
        <w:rPr>
          <w:rFonts w:hint="eastAsia" w:ascii="Arial" w:hAnsi="Arial" w:cs="宋体"/>
          <w:sz w:val="21"/>
        </w:rPr>
        <w:t>年    月   日</w:t>
      </w: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r>
        <w:rPr>
          <w:rFonts w:hint="eastAsia" w:ascii="宋体" w:hAnsi="宋体"/>
          <w:b/>
          <w:sz w:val="21"/>
        </w:rPr>
        <w:t>代理销售机构签章：</w:t>
      </w:r>
    </w:p>
    <w:p>
      <w:pPr>
        <w:spacing w:line="360" w:lineRule="auto"/>
        <w:rPr>
          <w:rFonts w:ascii="宋体" w:hAnsi="宋体"/>
          <w:b/>
          <w:sz w:val="21"/>
        </w:rPr>
      </w:pPr>
    </w:p>
    <w:p>
      <w:pPr>
        <w:spacing w:line="360" w:lineRule="auto"/>
        <w:rPr>
          <w:rFonts w:ascii="宋体" w:hAnsi="宋体"/>
          <w:b/>
          <w:sz w:val="21"/>
        </w:rPr>
      </w:pPr>
    </w:p>
    <w:p>
      <w:pPr>
        <w:spacing w:line="520" w:lineRule="exact"/>
        <w:ind w:firstLine="424" w:firstLineChars="202"/>
        <w:rPr>
          <w:rFonts w:hint="eastAsia" w:ascii="宋体" w:hAnsi="Wingdings" w:cs="宋体"/>
          <w:color w:val="000000"/>
          <w:kern w:val="0"/>
        </w:rPr>
      </w:pPr>
      <w:r>
        <w:rPr>
          <w:rFonts w:hint="eastAsia" w:ascii="Arial" w:hAnsi="Arial" w:cs="宋体"/>
          <w:sz w:val="21"/>
        </w:rPr>
        <w:t>年    月   日</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06F53F"/>
    <w:multiLevelType w:val="multilevel"/>
    <w:tmpl w:val="AC06F53F"/>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B3339662"/>
    <w:multiLevelType w:val="multilevel"/>
    <w:tmpl w:val="B3339662"/>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3DD4737"/>
    <w:multiLevelType w:val="multilevel"/>
    <w:tmpl w:val="F3DD4737"/>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72BC498"/>
    <w:multiLevelType w:val="multilevel"/>
    <w:tmpl w:val="F72BC498"/>
    <w:lvl w:ilvl="0" w:tentative="0">
      <w:start w:val="1"/>
      <w:numFmt w:val="chineseCounting"/>
      <w:suff w:val="space"/>
      <w:lvlText w:val="第%1条"/>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6247AAE"/>
    <w:multiLevelType w:val="multilevel"/>
    <w:tmpl w:val="06247AAE"/>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2">
    <w:nsid w:val="1A14F15A"/>
    <w:multiLevelType w:val="multilevel"/>
    <w:tmpl w:val="1A14F15A"/>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5">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0">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31AE820"/>
    <w:multiLevelType w:val="multilevel"/>
    <w:tmpl w:val="531AE820"/>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5404F3FF"/>
    <w:multiLevelType w:val="singleLevel"/>
    <w:tmpl w:val="5404F3FF"/>
    <w:lvl w:ilvl="0" w:tentative="0">
      <w:start w:val="1"/>
      <w:numFmt w:val="chineseCounting"/>
      <w:suff w:val="nothing"/>
      <w:lvlText w:val="（%1）"/>
      <w:lvlJc w:val="left"/>
      <w:rPr>
        <w:rFonts w:hint="eastAsia"/>
      </w:rPr>
    </w:lvl>
  </w:abstractNum>
  <w:abstractNum w:abstractNumId="27">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9">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5B87B9D3"/>
    <w:multiLevelType w:val="singleLevel"/>
    <w:tmpl w:val="5B87B9D3"/>
    <w:lvl w:ilvl="0" w:tentative="0">
      <w:start w:val="4"/>
      <w:numFmt w:val="chineseCounting"/>
      <w:suff w:val="nothing"/>
      <w:lvlText w:val="（%1）"/>
      <w:lvlJc w:val="left"/>
    </w:lvl>
  </w:abstractNum>
  <w:abstractNum w:abstractNumId="31">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8">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4"/>
  </w:num>
  <w:num w:numId="2">
    <w:abstractNumId w:val="30"/>
  </w:num>
  <w:num w:numId="3">
    <w:abstractNumId w:val="33"/>
  </w:num>
  <w:num w:numId="4">
    <w:abstractNumId w:val="23"/>
  </w:num>
  <w:num w:numId="5">
    <w:abstractNumId w:val="8"/>
  </w:num>
  <w:num w:numId="6">
    <w:abstractNumId w:val="5"/>
  </w:num>
  <w:num w:numId="7">
    <w:abstractNumId w:val="18"/>
  </w:num>
  <w:num w:numId="8">
    <w:abstractNumId w:val="7"/>
  </w:num>
  <w:num w:numId="9">
    <w:abstractNumId w:val="17"/>
  </w:num>
  <w:num w:numId="10">
    <w:abstractNumId w:val="19"/>
  </w:num>
  <w:num w:numId="11">
    <w:abstractNumId w:val="37"/>
  </w:num>
  <w:num w:numId="12">
    <w:abstractNumId w:val="11"/>
  </w:num>
  <w:num w:numId="13">
    <w:abstractNumId w:val="27"/>
  </w:num>
  <w:num w:numId="14">
    <w:abstractNumId w:val="28"/>
  </w:num>
  <w:num w:numId="15">
    <w:abstractNumId w:val="14"/>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0"/>
  </w:num>
  <w:num w:numId="36">
    <w:abstractNumId w:val="25"/>
  </w:num>
  <w:num w:numId="37">
    <w:abstractNumId w:val="2"/>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FB1F32"/>
    <w:rsid w:val="022F10A0"/>
    <w:rsid w:val="02C57AC3"/>
    <w:rsid w:val="03710FFC"/>
    <w:rsid w:val="038269B5"/>
    <w:rsid w:val="04CD156A"/>
    <w:rsid w:val="05E21D7D"/>
    <w:rsid w:val="060615E0"/>
    <w:rsid w:val="07EB4709"/>
    <w:rsid w:val="09AC6127"/>
    <w:rsid w:val="0A7B766E"/>
    <w:rsid w:val="0B7A25E3"/>
    <w:rsid w:val="0D50393C"/>
    <w:rsid w:val="0F0043BB"/>
    <w:rsid w:val="105435D8"/>
    <w:rsid w:val="13842138"/>
    <w:rsid w:val="155D0FAE"/>
    <w:rsid w:val="15DD3C7D"/>
    <w:rsid w:val="17E31C97"/>
    <w:rsid w:val="194950A1"/>
    <w:rsid w:val="1AE17164"/>
    <w:rsid w:val="1B8B2D6E"/>
    <w:rsid w:val="1D4B4659"/>
    <w:rsid w:val="1DA941EB"/>
    <w:rsid w:val="21AE43C0"/>
    <w:rsid w:val="24A25592"/>
    <w:rsid w:val="24B6088C"/>
    <w:rsid w:val="253F5149"/>
    <w:rsid w:val="255477D3"/>
    <w:rsid w:val="26DB12D6"/>
    <w:rsid w:val="27660D0E"/>
    <w:rsid w:val="28FB441D"/>
    <w:rsid w:val="29526849"/>
    <w:rsid w:val="29E37A3B"/>
    <w:rsid w:val="2A49017D"/>
    <w:rsid w:val="2CF11704"/>
    <w:rsid w:val="2D45719C"/>
    <w:rsid w:val="2DEC75F3"/>
    <w:rsid w:val="2E0B2CD2"/>
    <w:rsid w:val="2E93070A"/>
    <w:rsid w:val="30E90FE8"/>
    <w:rsid w:val="32406CA4"/>
    <w:rsid w:val="32C55323"/>
    <w:rsid w:val="33160ACE"/>
    <w:rsid w:val="35892A55"/>
    <w:rsid w:val="366571B0"/>
    <w:rsid w:val="38C9543A"/>
    <w:rsid w:val="3A4C12C1"/>
    <w:rsid w:val="3BA24BB0"/>
    <w:rsid w:val="3C0E19F9"/>
    <w:rsid w:val="3EDA4CA7"/>
    <w:rsid w:val="3F246D23"/>
    <w:rsid w:val="3F484E1A"/>
    <w:rsid w:val="3FCB3B1C"/>
    <w:rsid w:val="3FF86290"/>
    <w:rsid w:val="42BE4943"/>
    <w:rsid w:val="433D1B9E"/>
    <w:rsid w:val="44421B2F"/>
    <w:rsid w:val="45111D82"/>
    <w:rsid w:val="45603B71"/>
    <w:rsid w:val="45911582"/>
    <w:rsid w:val="4655665E"/>
    <w:rsid w:val="476B1B0C"/>
    <w:rsid w:val="481B099C"/>
    <w:rsid w:val="4ACA4F6B"/>
    <w:rsid w:val="4D2F2C43"/>
    <w:rsid w:val="4EE35FD9"/>
    <w:rsid w:val="50B01C04"/>
    <w:rsid w:val="50DD7DA0"/>
    <w:rsid w:val="510826B2"/>
    <w:rsid w:val="52EC289B"/>
    <w:rsid w:val="57B974E6"/>
    <w:rsid w:val="5A726ACA"/>
    <w:rsid w:val="5A8903AA"/>
    <w:rsid w:val="5BA072DA"/>
    <w:rsid w:val="5BCE6A5B"/>
    <w:rsid w:val="5BE91D19"/>
    <w:rsid w:val="5CEF711D"/>
    <w:rsid w:val="5D1D4D55"/>
    <w:rsid w:val="5D8C0A23"/>
    <w:rsid w:val="5E7332FD"/>
    <w:rsid w:val="62C16DB1"/>
    <w:rsid w:val="64EA430A"/>
    <w:rsid w:val="68AD3C29"/>
    <w:rsid w:val="6BB97DF1"/>
    <w:rsid w:val="6BE12EF7"/>
    <w:rsid w:val="6C361A89"/>
    <w:rsid w:val="6C6A476A"/>
    <w:rsid w:val="6CFB1020"/>
    <w:rsid w:val="6E05628E"/>
    <w:rsid w:val="6EB06FA0"/>
    <w:rsid w:val="6EF91A83"/>
    <w:rsid w:val="71D702F4"/>
    <w:rsid w:val="71E47495"/>
    <w:rsid w:val="73277265"/>
    <w:rsid w:val="73417A25"/>
    <w:rsid w:val="73C07E0A"/>
    <w:rsid w:val="73E23960"/>
    <w:rsid w:val="74D218E8"/>
    <w:rsid w:val="75A748C0"/>
    <w:rsid w:val="75F93249"/>
    <w:rsid w:val="78E860BE"/>
    <w:rsid w:val="7A5C4717"/>
    <w:rsid w:val="7B69328D"/>
    <w:rsid w:val="7C1927D1"/>
    <w:rsid w:val="7D213B6C"/>
    <w:rsid w:val="7DCF3D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28528</Words>
  <Characters>29579</Characters>
  <Lines>121</Lines>
  <Paragraphs>34</Paragraphs>
  <TotalTime>0</TotalTime>
  <ScaleCrop>false</ScaleCrop>
  <LinksUpToDate>false</LinksUpToDate>
  <CharactersWithSpaces>29866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2022-06-20T09:21:26Z</dcterms:modified>
  <dc:title>“幸福99”双季添益银行理财计划风险揭示书</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A321E267D9E84D8DB272E76DB5B27602</vt:lpwstr>
  </property>
</Properties>
</file>