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杭银理财幸福99丰裕固收22066</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Z7002222000104</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杭银理财幸福99丰裕固收22066期理财计划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丰裕固收22066期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Z7002222000104</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B份额（销售代码【FYG22066B】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C份额（销售代码【FYG22066C】）：部分代销客户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D份额（销售代码【FYG22066D】）：杭银理财特邀客户及部分代销客户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E份额（销售代码【FYG22066E】）：部分代销客户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〖2022〗年〖11〗月〖8〗日-〖2022〗年〖11〗月〖14〗日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〖2023〗年〖11〗月〖23〗日，若到期日为非工作日则顺延至下一个工作日。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E份额：业绩比较基准为〖4.20%〗（年化）。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〖0.30%〗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B份额理财计划财产的年化销售服务费率为0%， C份额理财计划财产的年化销售服务费率为0.20%,D份额理财计划财产的年化销售服务费率为0.10%,E份额理财计划财产的年化销售服务费率为0%,以B份额为例计算方法如下：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E为B份额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前一日资产净值</w:t>
      </w:r>
      <w:r>
        <w:rPr>
          <w:rFonts w:hint="eastAsia" w:ascii="宋体" w:hAnsi="宋体"/>
          <w:color w:val="000000"/>
          <w:szCs w:val="21"/>
        </w:rPr>
        <w:t xml:space="preserve">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固定管理费率为0.40%，C份额理财计划财产的年化固定管理费率为0.40%，D份额理财计划财产的年化固定管理费率为0.40%，E份额理财计划财产的年化固定管理费率为0.30%，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E为B份额</w:t>
      </w:r>
      <w:r>
        <w:rPr>
          <w:rFonts w:hint="eastAsia"/>
        </w:rPr>
        <w:t>前一日资产净值</w:t>
      </w:r>
    </w:p>
    <w:p>
      <w:pPr>
        <w:widowControl/>
        <w:spacing w:line="300" w:lineRule="auto"/>
        <w:ind w:firstLine="525" w:firstLineChars="25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以B份额为例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H为B份额产品到期（提前终止）时应收取的浮动管理费NAV为到期日（提前终止日）扣除固定管理费、托管费、销售服务费（如有）等固定费用后单位净值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R为B份额业绩比较基准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4D0228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批注框文本 Char"/>
    <w:basedOn w:val="9"/>
    <w:link w:val="3"/>
    <w:semiHidden/>
    <w:qFormat/>
    <w:uiPriority w:val="99"/>
    <w:rPr>
      <w:kern w:val="2"/>
      <w:sz w:val="18"/>
      <w:szCs w:val="18"/>
    </w:rPr>
  </w:style>
  <w:style w:type="character" w:customStyle="1" w:styleId="12">
    <w:name w:val="副标题 Char1"/>
    <w:basedOn w:val="9"/>
    <w:link w:val="6"/>
    <w:qFormat/>
    <w:uiPriority w:val="11"/>
    <w:rPr>
      <w:rFonts w:ascii="Cambria" w:hAnsi="Cambria" w:eastAsia="宋体" w:cs="Times New Roman"/>
      <w:b/>
      <w:bCs/>
      <w:kern w:val="28"/>
      <w:sz w:val="32"/>
      <w:szCs w:val="32"/>
    </w:rPr>
  </w:style>
  <w:style w:type="character" w:customStyle="1" w:styleId="13">
    <w:name w:val="页脚 Char1"/>
    <w:basedOn w:val="9"/>
    <w:link w:val="4"/>
    <w:semiHidden/>
    <w:qFormat/>
    <w:uiPriority w:val="99"/>
    <w:rPr>
      <w:rFonts w:ascii="Times New Roman" w:hAnsi="Times New Roman" w:eastAsia="宋体" w:cs="Times New Roman"/>
      <w:sz w:val="18"/>
      <w:szCs w:val="18"/>
    </w:rPr>
  </w:style>
  <w:style w:type="character" w:customStyle="1" w:styleId="14">
    <w:name w:val="页脚 Char"/>
    <w:qFormat/>
    <w:uiPriority w:val="99"/>
    <w:rPr>
      <w:rFonts w:ascii="Times New Roman" w:hAnsi="Times New Roman"/>
      <w:sz w:val="18"/>
      <w:szCs w:val="18"/>
    </w:rPr>
  </w:style>
  <w:style w:type="character" w:customStyle="1" w:styleId="15">
    <w:name w:val="页眉 Char"/>
    <w:basedOn w:val="9"/>
    <w:link w:val="5"/>
    <w:semiHidden/>
    <w:qFormat/>
    <w:uiPriority w:val="99"/>
    <w:rPr>
      <w:rFonts w:ascii="Times New Roman" w:hAnsi="Times New Roman" w:eastAsia="宋体" w:cs="Times New Roman"/>
      <w:sz w:val="18"/>
      <w:szCs w:val="18"/>
    </w:rPr>
  </w:style>
  <w:style w:type="character" w:customStyle="1" w:styleId="16">
    <w:name w:val="副标题 Char"/>
    <w:qFormat/>
    <w:uiPriority w:val="11"/>
    <w:rPr>
      <w:rFonts w:ascii="Cambria" w:hAnsi="Cambria" w:cs="Cambria"/>
      <w:b/>
      <w:bCs/>
      <w:kern w:val="28"/>
      <w:sz w:val="32"/>
      <w:szCs w:val="32"/>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List Paragraph2"/>
    <w:basedOn w:val="1"/>
    <w:unhideWhenUsed/>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25508</Words>
  <Characters>26664</Characters>
  <Lines>198</Lines>
  <Paragraphs>55</Paragraphs>
  <TotalTime>0</TotalTime>
  <ScaleCrop>false</ScaleCrop>
  <LinksUpToDate>false</LinksUpToDate>
  <CharactersWithSpaces>27309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2022-11-03T06:47:26Z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