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杭银理财幸福99丰裕固收22054</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2"/>
        </w:rPr>
        <w:t>Z7002222000077</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杭银理财幸福99丰裕固收22054期理财计划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丰裕固收22054期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2"/>
              </w:rPr>
              <w:t>Z7002222000077</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A份额（销售代码【FYG22054A】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D份额（销售代码【FYG22054D】）：部分代销机构客户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s="宋体"/>
                <w:color w:val="000000"/>
                <w:szCs w:val="21"/>
              </w:rPr>
              <w:t>E</w:t>
            </w:r>
            <w:r>
              <w:rPr>
                <w:rFonts w:hint="eastAsia" w:ascii="宋体" w:hAnsi="宋体"/>
                <w:color w:val="000000"/>
                <w:szCs w:val="21"/>
              </w:rPr>
              <w:t>份额（销售代码【FYG22054E】）：部分代销机构客户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产品A、D、E份额总发行规模上限合计〖40〗亿元。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〖2022〗年〖9〗月〖1〗日-〖2022〗年〖9〗月〖7〗日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〖2024〗年〖9〗月〖18〗日，若到期日为非工作日则顺延至下一个工作日。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〖741〗天（实际理财期限受制于管理人提前终止权等条款）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A份额：业绩比较基准为〖4.50%〗（年化）。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D份额：业绩比较基准为〖4.70%〗（年化）。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E份额：业绩比较基准为〖5.00%〗（年化）。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 D份额理财计划财产的年化销售服务费率为0%, 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 D份额理财计划财产的年化固定管理费率为0.40%，E份额理财计划财产的年化固定管理费率为0.10%，以A份额为例计算方法如下：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5FDB44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批注框文本 Char"/>
    <w:basedOn w:val="9"/>
    <w:link w:val="3"/>
    <w:semiHidden/>
    <w:uiPriority w:val="99"/>
    <w:rPr>
      <w:kern w:val="2"/>
      <w:sz w:val="18"/>
      <w:szCs w:val="18"/>
    </w:rPr>
  </w:style>
  <w:style w:type="character" w:customStyle="1" w:styleId="12">
    <w:name w:val="el-tooltip"/>
    <w:basedOn w:val="9"/>
    <w:qFormat/>
    <w:uiPriority w:val="0"/>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character" w:customStyle="1" w:styleId="17">
    <w:name w:val="页脚 Char"/>
    <w:qFormat/>
    <w:uiPriority w:val="99"/>
    <w:rPr>
      <w:rFonts w:ascii="Times New Roman" w:hAnsi="Times New Roman"/>
      <w:sz w:val="18"/>
      <w:szCs w:val="18"/>
    </w:rPr>
  </w:style>
  <w:style w:type="paragraph" w:customStyle="1" w:styleId="18">
    <w:name w:val="List Paragraph2"/>
    <w:basedOn w:val="1"/>
    <w:unhideWhenUsed/>
    <w:qFormat/>
    <w:uiPriority w:val="0"/>
    <w:pPr>
      <w:ind w:firstLine="420" w:firstLineChars="200"/>
    </w:pPr>
    <w:rPr>
      <w:szCs w:val="2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25084</Words>
  <Characters>26141</Characters>
  <Lines>194</Lines>
  <Paragraphs>54</Paragraphs>
  <TotalTime>0</TotalTime>
  <ScaleCrop>false</ScaleCrop>
  <LinksUpToDate>false</LinksUpToDate>
  <CharactersWithSpaces>26788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2022-08-26T02:08:52Z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