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1803</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Z7002221000167</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1803</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1803</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该产品在全国银行业理财信息登记系统的原登记编码是C1092018001546，</w:t>
            </w:r>
            <w:r>
              <w:rPr>
                <w:rFonts w:hint="eastAsia" w:ascii="宋体" w:hAnsi="宋体" w:cs="宋体"/>
              </w:rPr>
              <w:t>变更登记后为〖</w:t>
            </w:r>
            <w:r>
              <w:rPr>
                <w:rFonts w:ascii="宋体" w:hAnsi="宋体" w:cs="宋体"/>
              </w:rPr>
              <w:t>Z70022210001</w:t>
            </w:r>
            <w:r>
              <w:rPr>
                <w:rFonts w:hint="eastAsia" w:ascii="宋体" w:hAnsi="宋体" w:cs="宋体"/>
                <w:lang w:val="en-US" w:eastAsia="zh-CN"/>
              </w:rPr>
              <w:t>67</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规模下限为0.2亿元，产品规模上限在每个开放期进行调整，首次认购期规模上限为10亿元。若认购金额未达规模下限则管理人有权决定产品不成立，若认购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2018年12月7日至2018年12月13日。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2018年12月14日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首次开放期为2019年6月6日至2019年6月17日，首个确认日为2019年6月18日。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w:t>
            </w:r>
            <w:r>
              <w:rPr>
                <w:rFonts w:hint="eastAsia" w:ascii="宋体" w:hAnsi="宋体" w:cs="宋体"/>
                <w:color w:val="000000"/>
                <w:kern w:val="0"/>
                <w:lang w:val="en-US" w:eastAsia="zh-CN"/>
              </w:rPr>
              <w:t>3</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2"/>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5"/>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6"/>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88"/>
        <w:gridCol w:w="1325"/>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上海市浦东新区银城路 167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13"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7"/>
        </w:numPr>
        <w:spacing w:line="360" w:lineRule="auto"/>
        <w:rPr>
          <w:rFonts w:ascii="宋体" w:hAnsi="宋体"/>
          <w:b/>
          <w:bCs/>
          <w:kern w:val="0"/>
        </w:rPr>
      </w:pPr>
      <w:r>
        <w:rPr>
          <w:rFonts w:hint="eastAsia" w:ascii="宋体" w:hAnsi="宋体"/>
          <w:b/>
          <w:bCs/>
          <w:kern w:val="0"/>
        </w:rPr>
        <w:t>理财计划办理流程</w:t>
      </w:r>
    </w:p>
    <w:p>
      <w:pPr>
        <w:numPr>
          <w:ilvl w:val="0"/>
          <w:numId w:val="18"/>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8"/>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8"/>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w:t>
      </w:r>
      <w:r>
        <w:rPr>
          <w:rFonts w:hint="eastAsia" w:ascii="宋体" w:hAnsi="宋体"/>
          <w:kern w:val="0"/>
          <w:lang w:eastAsia="zh-CN"/>
        </w:rPr>
        <w:t>、</w:t>
      </w:r>
      <w:r>
        <w:rPr>
          <w:rFonts w:hint="eastAsia" w:ascii="宋体" w:hAnsi="宋体"/>
          <w:kern w:val="0"/>
        </w:rPr>
        <w:t>理财计划投资协议书</w:t>
      </w:r>
      <w:r>
        <w:rPr>
          <w:rFonts w:hint="eastAsia" w:ascii="宋体" w:hAnsi="宋体"/>
          <w:kern w:val="0"/>
          <w:lang w:val="en-US" w:eastAsia="zh-CN"/>
        </w:rPr>
        <w:t>和理财计划销售协议书</w:t>
      </w:r>
      <w:r>
        <w:rPr>
          <w:rFonts w:hint="eastAsia" w:ascii="宋体" w:hAnsi="宋体"/>
          <w:kern w:val="0"/>
        </w:rPr>
        <w:t>）等相关协议文件，确认对理财计划条款及风险理解并无疑问和异议后，自主作出认（申）购和赎回决定，独立抄录风险确认语句并签署相关销售文件，办理理财计划交易手续，自主承担投资风险。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8"/>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8"/>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19"/>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0"/>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1"/>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1"/>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1"/>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2"/>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2"/>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2"/>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2"/>
        </w:numPr>
        <w:spacing w:line="360" w:lineRule="auto"/>
        <w:rPr>
          <w:rFonts w:ascii="宋体" w:hAnsi="宋体"/>
          <w:kern w:val="0"/>
        </w:rPr>
      </w:pPr>
      <w:r>
        <w:rPr>
          <w:rFonts w:hint="eastAsia" w:ascii="宋体" w:hAnsi="宋体"/>
          <w:kern w:val="0"/>
        </w:rPr>
        <w:t>投资者对评估结果进行确认。</w:t>
      </w:r>
    </w:p>
    <w:p>
      <w:pPr>
        <w:numPr>
          <w:ilvl w:val="0"/>
          <w:numId w:val="23"/>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3"/>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3"/>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spacing w:line="360" w:lineRule="auto"/>
        <w:ind w:firstLine="420" w:firstLineChars="200"/>
        <w:rPr>
          <w:rFonts w:hint="eastAsia" w:ascii="宋体" w:hAnsi="宋体"/>
          <w:kern w:val="0"/>
        </w:rPr>
      </w:pPr>
      <w:r>
        <w:rPr>
          <w:rFonts w:hint="eastAsia" w:ascii="宋体" w:hAnsi="宋体"/>
          <w:kern w:val="0"/>
          <w:lang w:eastAsia="zh-CN"/>
        </w:rPr>
        <w:t>（</w:t>
      </w:r>
      <w:r>
        <w:rPr>
          <w:rFonts w:hint="eastAsia" w:ascii="宋体" w:hAnsi="宋体"/>
          <w:kern w:val="0"/>
          <w:lang w:val="en-US" w:eastAsia="zh-CN"/>
        </w:rPr>
        <w:t>一</w:t>
      </w:r>
      <w:r>
        <w:rPr>
          <w:rFonts w:hint="eastAsia" w:ascii="宋体" w:hAnsi="宋体"/>
          <w:kern w:val="0"/>
          <w:lang w:eastAsia="zh-CN"/>
        </w:rPr>
        <w:t>）</w:t>
      </w: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spacing w:line="360" w:lineRule="auto"/>
        <w:ind w:firstLine="420" w:firstLineChars="200"/>
        <w:rPr>
          <w:rFonts w:hint="eastAsia" w:ascii="宋体" w:hAnsi="宋体"/>
          <w:kern w:val="0"/>
        </w:rPr>
      </w:pPr>
      <w:r>
        <w:rPr>
          <w:rFonts w:hint="eastAsia" w:ascii="宋体" w:hAnsi="宋体"/>
          <w:kern w:val="0"/>
        </w:rPr>
        <w:t>（二）投诉流程及联络方式</w:t>
      </w:r>
    </w:p>
    <w:p>
      <w:pPr>
        <w:spacing w:line="360" w:lineRule="auto"/>
        <w:ind w:firstLine="420" w:firstLineChars="200"/>
        <w:rPr>
          <w:rFonts w:hint="eastAsia" w:ascii="宋体" w:hAnsi="宋体"/>
          <w:kern w:val="0"/>
        </w:rPr>
      </w:pPr>
      <w:r>
        <w:rPr>
          <w:rFonts w:hint="eastAsia" w:ascii="宋体" w:hAnsi="宋体"/>
          <w:kern w:val="0"/>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rPr>
      </w:pPr>
      <w:r>
        <w:rPr>
          <w:rFonts w:hint="eastAsia" w:ascii="宋体" w:hAnsi="宋体"/>
          <w:kern w:val="0"/>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rPr>
      </w:pPr>
      <w:r>
        <w:rPr>
          <w:rFonts w:hint="eastAsia" w:ascii="宋体" w:hAnsi="宋体"/>
          <w:kern w:val="0"/>
        </w:rPr>
        <w:t>石嘴山银行官网网站：www.szsccb.com。</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spacing w:line="360" w:lineRule="auto"/>
        <w:ind w:firstLine="420" w:firstLineChars="200"/>
        <w:rPr>
          <w:rFonts w:hint="eastAsia" w:ascii="宋体" w:hAnsi="宋体"/>
          <w:kern w:val="0"/>
        </w:rPr>
      </w:pPr>
      <w:r>
        <w:rPr>
          <w:rFonts w:hint="eastAsia" w:ascii="宋体" w:hAnsi="宋体"/>
          <w:kern w:val="0"/>
        </w:rPr>
        <w:t>1．官方网站：暂无</w:t>
      </w:r>
    </w:p>
    <w:p>
      <w:pPr>
        <w:spacing w:line="360" w:lineRule="auto"/>
        <w:ind w:firstLine="420" w:firstLineChars="200"/>
        <w:rPr>
          <w:rFonts w:hint="eastAsia" w:ascii="宋体" w:hAnsi="宋体"/>
          <w:kern w:val="0"/>
        </w:rPr>
      </w:pPr>
      <w:r>
        <w:rPr>
          <w:rFonts w:hint="eastAsia" w:ascii="宋体" w:hAnsi="宋体"/>
          <w:kern w:val="0"/>
        </w:rPr>
        <w:t>2．公司地址：杭州市拱墅区庆春路38号金龙财富中心6楼</w:t>
      </w:r>
    </w:p>
    <w:p>
      <w:pPr>
        <w:spacing w:line="360" w:lineRule="auto"/>
        <w:ind w:firstLine="420" w:firstLineChars="200"/>
        <w:rPr>
          <w:rFonts w:hint="eastAsia" w:ascii="宋体" w:hAnsi="宋体"/>
          <w:kern w:val="0"/>
        </w:rPr>
      </w:pPr>
      <w:r>
        <w:rPr>
          <w:rFonts w:hint="eastAsia" w:ascii="宋体" w:hAnsi="宋体"/>
          <w:kern w:val="0"/>
        </w:rPr>
        <w:t>若上述联系方式变更，杭银理财将提前通过原官方网站及时告知投资者</w:t>
      </w:r>
    </w:p>
    <w:p>
      <w:pPr>
        <w:spacing w:line="520" w:lineRule="exact"/>
        <w:ind w:firstLine="0" w:firstLineChars="0"/>
        <w:rPr>
          <w:rFonts w:hint="eastAsia" w:ascii="宋体" w:hAnsi="Wingdings" w:cs="宋体"/>
          <w:color w:val="000000"/>
          <w:kern w:val="0"/>
        </w:rPr>
      </w:pPr>
      <w:bookmarkStart w:id="3" w:name="_GoBack"/>
      <w:bookmarkEnd w:id="3"/>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ascii="宋体" w:hAnsi="宋体"/>
          <w:b/>
          <w:bCs/>
        </w:rPr>
      </w:pPr>
      <w:r>
        <w:rPr>
          <w:rFonts w:hint="eastAsia" w:ascii="宋体" w:hAnsi="宋体"/>
        </w:rPr>
        <w:t>（202101版）</w:t>
      </w:r>
    </w:p>
    <w:p>
      <w:pPr>
        <w:jc w:val="center"/>
        <w:rPr>
          <w:rFonts w:ascii="宋体" w:hAnsi="宋体"/>
          <w:b/>
          <w:bCs/>
        </w:rPr>
      </w:pPr>
    </w:p>
    <w:p>
      <w:pPr>
        <w:spacing w:line="360" w:lineRule="auto"/>
        <w:ind w:firstLine="422" w:firstLineChars="200"/>
        <w:rPr>
          <w:rFonts w:ascii="宋体" w:hAnsi="宋体"/>
          <w:b/>
          <w:bCs/>
        </w:rPr>
      </w:pPr>
      <w:r>
        <w:rPr>
          <w:rFonts w:hint="eastAsia" w:ascii="宋体" w:hAnsi="宋体"/>
          <w:b/>
          <w:bCs/>
        </w:rPr>
        <w:t>特别提示：杭银理财理财计划投资协议书与杭银理财理财计划</w:t>
      </w:r>
      <w:r>
        <w:rPr>
          <w:rFonts w:hint="eastAsia" w:ascii="宋体" w:hAnsi="宋体"/>
          <w:b/>
          <w:bCs/>
          <w:lang w:val="en-US" w:eastAsia="zh-CN"/>
        </w:rPr>
        <w:t>销售</w:t>
      </w:r>
      <w:r>
        <w:rPr>
          <w:rFonts w:hint="eastAsia" w:ascii="宋体" w:hAnsi="宋体"/>
          <w:b/>
          <w:bCs/>
        </w:rPr>
        <w:t>协议书</w:t>
      </w:r>
      <w:r>
        <w:rPr>
          <w:rFonts w:hint="eastAsia" w:ascii="宋体" w:hAnsi="宋体"/>
          <w:b/>
          <w:bCs/>
          <w:lang w:eastAsia="zh-CN"/>
        </w:rPr>
        <w:t>、</w:t>
      </w:r>
      <w:r>
        <w:rPr>
          <w:rFonts w:hint="eastAsia" w:ascii="宋体" w:hAnsi="宋体"/>
          <w:b/>
          <w:bCs/>
        </w:rPr>
        <w:t>投资者权益须知、风险揭示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numPr>
          <w:ilvl w:val="0"/>
          <w:numId w:val="24"/>
        </w:numPr>
        <w:spacing w:line="360" w:lineRule="auto"/>
        <w:ind w:firstLine="422" w:firstLineChars="200"/>
        <w:rPr>
          <w:rFonts w:ascii="宋体" w:hAnsi="宋体"/>
          <w:b/>
          <w:bCs/>
        </w:rPr>
      </w:pPr>
      <w:r>
        <w:rPr>
          <w:rFonts w:hint="eastAsia" w:ascii="宋体" w:hAnsi="宋体"/>
          <w:b/>
          <w:bCs/>
        </w:rPr>
        <w:t>名词释义</w:t>
      </w:r>
    </w:p>
    <w:p>
      <w:pPr>
        <w:spacing w:line="360" w:lineRule="auto"/>
        <w:ind w:firstLine="420" w:firstLineChars="200"/>
        <w:rPr>
          <w:rFonts w:ascii="宋体" w:hAnsi="宋体"/>
        </w:rPr>
      </w:pPr>
      <w:r>
        <w:rPr>
          <w:rFonts w:hint="eastAsia" w:ascii="宋体" w:hAnsi="宋体"/>
        </w:rPr>
        <w:t>详见理财计划说明书“释义”部分。</w:t>
      </w:r>
    </w:p>
    <w:p>
      <w:pPr>
        <w:numPr>
          <w:ilvl w:val="0"/>
          <w:numId w:val="24"/>
        </w:numPr>
        <w:spacing w:line="360" w:lineRule="auto"/>
        <w:ind w:firstLine="422" w:firstLineChars="200"/>
        <w:rPr>
          <w:rFonts w:ascii="宋体" w:hAnsi="宋体"/>
          <w:b/>
          <w:bCs/>
        </w:rPr>
      </w:pPr>
      <w:r>
        <w:rPr>
          <w:rFonts w:hint="eastAsia" w:ascii="宋体" w:hAnsi="宋体"/>
          <w:b/>
          <w:bCs/>
        </w:rPr>
        <w:t>投资者权利与义务</w:t>
      </w:r>
    </w:p>
    <w:p>
      <w:pPr>
        <w:widowControl/>
        <w:numPr>
          <w:ilvl w:val="0"/>
          <w:numId w:val="25"/>
        </w:numPr>
        <w:spacing w:line="360" w:lineRule="auto"/>
        <w:contextualSpacing/>
        <w:rPr>
          <w:rFonts w:ascii="宋体" w:hAnsi="宋体"/>
        </w:rPr>
      </w:pPr>
      <w:r>
        <w:rPr>
          <w:rFonts w:hint="eastAsia" w:ascii="宋体" w:hAnsi="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5"/>
        </w:numPr>
        <w:spacing w:line="360" w:lineRule="auto"/>
        <w:contextualSpacing/>
        <w:rPr>
          <w:rFonts w:ascii="宋体" w:hAnsi="宋体"/>
        </w:rPr>
      </w:pPr>
      <w:r>
        <w:rPr>
          <w:rFonts w:hint="eastAsia" w:ascii="宋体" w:hAnsi="宋体"/>
        </w:rPr>
        <w:t>投资者保证自身完全了解理财投资的性质，投资所涉及的风险以及自身风险承受能力，在慎重考虑后独立作出交易决定。</w:t>
      </w:r>
    </w:p>
    <w:p>
      <w:pPr>
        <w:widowControl/>
        <w:numPr>
          <w:ilvl w:val="0"/>
          <w:numId w:val="25"/>
        </w:numPr>
        <w:spacing w:line="360" w:lineRule="auto"/>
        <w:contextualSpacing/>
        <w:rPr>
          <w:rFonts w:ascii="宋体" w:hAnsi="宋体"/>
        </w:rPr>
      </w:pPr>
      <w:r>
        <w:rPr>
          <w:rFonts w:hint="eastAsia" w:ascii="宋体" w:hAnsi="宋体"/>
        </w:rPr>
        <w:t>投资者保证其有权利签署本协议和履行本协议所述的义务，并已为此采取一切所需的行为。</w:t>
      </w:r>
    </w:p>
    <w:p>
      <w:pPr>
        <w:widowControl/>
        <w:numPr>
          <w:ilvl w:val="0"/>
          <w:numId w:val="25"/>
        </w:numPr>
        <w:spacing w:line="360" w:lineRule="auto"/>
        <w:contextualSpacing/>
        <w:rPr>
          <w:rFonts w:ascii="宋体" w:hAnsi="宋体"/>
        </w:rPr>
      </w:pPr>
      <w:r>
        <w:rPr>
          <w:rFonts w:hint="eastAsia" w:ascii="宋体" w:hAnsi="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5"/>
        </w:numPr>
        <w:spacing w:line="360" w:lineRule="auto"/>
        <w:contextualSpacing/>
        <w:rPr>
          <w:rFonts w:ascii="宋体" w:hAnsi="宋体"/>
        </w:rPr>
      </w:pPr>
      <w:r>
        <w:rPr>
          <w:rFonts w:hint="eastAsia" w:ascii="宋体" w:hAnsi="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5"/>
        </w:numPr>
        <w:spacing w:line="360" w:lineRule="auto"/>
        <w:contextualSpacing/>
        <w:rPr>
          <w:rFonts w:ascii="宋体" w:hAnsi="宋体"/>
        </w:rPr>
      </w:pPr>
      <w:r>
        <w:rPr>
          <w:rFonts w:hint="eastAsia" w:ascii="宋体" w:hAnsi="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5"/>
        </w:numPr>
        <w:spacing w:line="360" w:lineRule="auto"/>
        <w:contextualSpacing/>
        <w:rPr>
          <w:rFonts w:ascii="宋体" w:hAnsi="宋体"/>
        </w:rPr>
      </w:pPr>
      <w:r>
        <w:rPr>
          <w:rFonts w:hint="eastAsia" w:ascii="宋体" w:hAnsi="宋体"/>
        </w:rPr>
        <w:t>本协议终止前，投资者不得将授权指定账户销户。若发生因投资者注销授权指定账户造成理财计划无法正常兑付的，管理人不承担任何责任。</w:t>
      </w:r>
    </w:p>
    <w:p>
      <w:pPr>
        <w:widowControl/>
        <w:numPr>
          <w:ilvl w:val="0"/>
          <w:numId w:val="25"/>
        </w:numPr>
        <w:spacing w:line="360" w:lineRule="auto"/>
        <w:contextualSpacing/>
        <w:rPr>
          <w:rFonts w:ascii="宋体" w:hAnsi="宋体"/>
        </w:rPr>
      </w:pPr>
      <w:r>
        <w:rPr>
          <w:rFonts w:hint="eastAsia" w:ascii="宋体" w:hAnsi="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5"/>
        </w:numPr>
        <w:spacing w:line="360" w:lineRule="auto"/>
        <w:contextualSpacing/>
        <w:rPr>
          <w:rFonts w:ascii="宋体" w:hAnsi="宋体"/>
        </w:rPr>
      </w:pPr>
      <w:r>
        <w:rPr>
          <w:rFonts w:hint="eastAsia" w:ascii="宋体" w:hAnsi="宋体"/>
        </w:rPr>
        <w:t xml:space="preserve">投资者进行投资时，应严格遵守反洗钱相关法规的规定，切实履行反洗钱及反恐怖融资义务。 </w:t>
      </w:r>
    </w:p>
    <w:p>
      <w:pPr>
        <w:spacing w:line="360" w:lineRule="auto"/>
        <w:ind w:left="482"/>
        <w:rPr>
          <w:rFonts w:ascii="Times New Roman" w:hAnsi="Times New Roman"/>
          <w:b/>
          <w:bCs/>
        </w:rPr>
      </w:pPr>
    </w:p>
    <w:p>
      <w:pPr>
        <w:numPr>
          <w:ilvl w:val="0"/>
          <w:numId w:val="24"/>
        </w:numPr>
        <w:spacing w:line="360" w:lineRule="auto"/>
        <w:ind w:firstLine="422" w:firstLineChars="200"/>
        <w:rPr>
          <w:rFonts w:ascii="宋体" w:hAnsi="宋体"/>
          <w:b/>
          <w:bCs/>
        </w:rPr>
      </w:pPr>
      <w:r>
        <w:rPr>
          <w:rFonts w:hint="eastAsia" w:ascii="宋体" w:hAnsi="宋体"/>
          <w:b/>
          <w:bCs/>
        </w:rPr>
        <w:t>管理人权利与义务</w:t>
      </w:r>
    </w:p>
    <w:p>
      <w:pPr>
        <w:widowControl/>
        <w:numPr>
          <w:ilvl w:val="0"/>
          <w:numId w:val="26"/>
        </w:numPr>
        <w:spacing w:line="360" w:lineRule="auto"/>
        <w:contextualSpacing/>
        <w:rPr>
          <w:rFonts w:ascii="宋体" w:hAnsi="宋体"/>
        </w:rPr>
      </w:pPr>
      <w:r>
        <w:rPr>
          <w:rFonts w:hint="eastAsia" w:ascii="宋体" w:hAnsi="宋体"/>
        </w:rPr>
        <w:t xml:space="preserve">管理人应当诚实守信、勤勉尽责地履行受人之托、代人理财职责。 </w:t>
      </w:r>
    </w:p>
    <w:p>
      <w:pPr>
        <w:widowControl/>
        <w:numPr>
          <w:ilvl w:val="0"/>
          <w:numId w:val="26"/>
        </w:numPr>
        <w:spacing w:line="360" w:lineRule="auto"/>
        <w:contextualSpacing/>
        <w:rPr>
          <w:rFonts w:ascii="宋体" w:hAnsi="宋体"/>
        </w:rPr>
      </w:pPr>
      <w:r>
        <w:rPr>
          <w:rFonts w:hint="eastAsia" w:ascii="宋体" w:hAnsi="宋体"/>
        </w:rPr>
        <w:t xml:space="preserve">管理人应当按照理财计划销售文件的约定收取管理费用、确定收益分配方案、向投资者分配收益。 </w:t>
      </w:r>
    </w:p>
    <w:p>
      <w:pPr>
        <w:widowControl/>
        <w:numPr>
          <w:ilvl w:val="0"/>
          <w:numId w:val="26"/>
        </w:numPr>
        <w:spacing w:line="360" w:lineRule="auto"/>
        <w:contextualSpacing/>
        <w:rPr>
          <w:rFonts w:ascii="宋体" w:hAnsi="宋体"/>
        </w:rPr>
      </w:pPr>
      <w:r>
        <w:rPr>
          <w:rFonts w:hint="eastAsia" w:ascii="宋体" w:hAnsi="宋体"/>
        </w:rPr>
        <w:t xml:space="preserve">管理人应当按照理财计划销售文件的约定履行风险揭示及信息披露义务。 </w:t>
      </w:r>
    </w:p>
    <w:p>
      <w:pPr>
        <w:widowControl/>
        <w:numPr>
          <w:ilvl w:val="0"/>
          <w:numId w:val="26"/>
        </w:numPr>
        <w:spacing w:line="360" w:lineRule="auto"/>
        <w:contextualSpacing/>
        <w:rPr>
          <w:rFonts w:ascii="宋体" w:hAnsi="宋体"/>
        </w:rPr>
      </w:pPr>
      <w:r>
        <w:rPr>
          <w:rFonts w:hint="eastAsia" w:ascii="宋体" w:hAnsi="宋体"/>
        </w:rPr>
        <w:t xml:space="preserve">管理人应当确保理财业务与其他业务相分离，理财计划之间相分离，理财业务操作与其他业务操作相分离。 </w:t>
      </w:r>
    </w:p>
    <w:p>
      <w:pPr>
        <w:widowControl/>
        <w:numPr>
          <w:ilvl w:val="0"/>
          <w:numId w:val="26"/>
        </w:numPr>
        <w:spacing w:line="360" w:lineRule="auto"/>
        <w:contextualSpacing/>
        <w:rPr>
          <w:rFonts w:ascii="宋体" w:hAnsi="宋体"/>
        </w:rPr>
      </w:pPr>
      <w:r>
        <w:rPr>
          <w:rFonts w:hint="eastAsia" w:ascii="宋体" w:hAnsi="宋体"/>
        </w:rPr>
        <w:t>管理人不得将理财计划财产归入其自有资产，因依法解散、被依法撤销或者被依法宣告破产等原因进行清算的，理财计划财产不属于其清算财产。</w:t>
      </w:r>
    </w:p>
    <w:p>
      <w:pPr>
        <w:widowControl/>
        <w:numPr>
          <w:ilvl w:val="0"/>
          <w:numId w:val="26"/>
        </w:numPr>
        <w:spacing w:line="360" w:lineRule="auto"/>
        <w:contextualSpacing/>
        <w:rPr>
          <w:rFonts w:ascii="宋体" w:hAnsi="宋体"/>
        </w:rPr>
      </w:pPr>
      <w:r>
        <w:rPr>
          <w:rFonts w:hint="eastAsia" w:ascii="宋体" w:hAnsi="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6"/>
        </w:numPr>
        <w:spacing w:line="360" w:lineRule="auto"/>
        <w:contextualSpacing/>
        <w:rPr>
          <w:rFonts w:ascii="宋体" w:hAnsi="宋体"/>
        </w:rPr>
      </w:pPr>
      <w:r>
        <w:rPr>
          <w:rFonts w:hint="eastAsia" w:ascii="宋体" w:hAnsi="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6"/>
        </w:numPr>
        <w:spacing w:line="360" w:lineRule="auto"/>
        <w:contextualSpacing/>
        <w:rPr>
          <w:rFonts w:ascii="宋体" w:hAnsi="宋体"/>
        </w:rPr>
      </w:pPr>
      <w:r>
        <w:rPr>
          <w:rFonts w:hint="eastAsia" w:ascii="宋体" w:hAnsi="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6"/>
        </w:numPr>
        <w:spacing w:line="360" w:lineRule="auto"/>
        <w:contextualSpacing/>
        <w:rPr>
          <w:rFonts w:ascii="宋体" w:hAnsi="宋体"/>
        </w:rPr>
      </w:pPr>
      <w:r>
        <w:rPr>
          <w:rFonts w:hint="eastAsia" w:ascii="宋体" w:hAnsi="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Times New Roman" w:hAnsi="Times New Roman"/>
          <w:b/>
          <w:bCs/>
        </w:rPr>
      </w:pPr>
    </w:p>
    <w:p>
      <w:pPr>
        <w:numPr>
          <w:ilvl w:val="0"/>
          <w:numId w:val="24"/>
        </w:numPr>
        <w:spacing w:line="360" w:lineRule="auto"/>
        <w:ind w:firstLine="422" w:firstLineChars="200"/>
        <w:rPr>
          <w:rFonts w:ascii="宋体" w:hAnsi="宋体"/>
          <w:b/>
          <w:bCs/>
        </w:rPr>
      </w:pPr>
      <w:r>
        <w:rPr>
          <w:rFonts w:hint="eastAsia" w:ascii="宋体" w:hAnsi="宋体"/>
          <w:b/>
          <w:bCs/>
        </w:rPr>
        <w:t>理财计划认（申）购、赎回及终止</w:t>
      </w:r>
    </w:p>
    <w:p>
      <w:pPr>
        <w:widowControl/>
        <w:numPr>
          <w:ilvl w:val="0"/>
          <w:numId w:val="27"/>
        </w:numPr>
        <w:spacing w:line="360" w:lineRule="auto"/>
        <w:contextualSpacing/>
        <w:rPr>
          <w:rFonts w:ascii="宋体" w:hAnsi="宋体"/>
        </w:rPr>
      </w:pPr>
      <w:r>
        <w:rPr>
          <w:rFonts w:hint="eastAsia" w:ascii="宋体" w:hAnsi="宋体"/>
        </w:rPr>
        <w:t xml:space="preserve">理财计划认/申购办理流程：参照《投资者权益须知》约定。 </w:t>
      </w:r>
    </w:p>
    <w:p>
      <w:pPr>
        <w:widowControl/>
        <w:numPr>
          <w:ilvl w:val="0"/>
          <w:numId w:val="27"/>
        </w:numPr>
        <w:spacing w:line="360" w:lineRule="auto"/>
        <w:contextualSpacing/>
        <w:rPr>
          <w:rFonts w:ascii="宋体" w:hAnsi="宋体"/>
        </w:rPr>
      </w:pPr>
      <w:r>
        <w:rPr>
          <w:rFonts w:hint="eastAsia" w:ascii="宋体" w:hAnsi="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27"/>
        </w:numPr>
        <w:spacing w:line="360" w:lineRule="auto"/>
        <w:contextualSpacing/>
        <w:rPr>
          <w:rFonts w:ascii="宋体" w:hAnsi="宋体"/>
        </w:rPr>
      </w:pPr>
      <w:r>
        <w:rPr>
          <w:rFonts w:hint="eastAsia" w:ascii="宋体" w:hAnsi="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27"/>
        </w:numPr>
        <w:spacing w:line="360" w:lineRule="auto"/>
        <w:contextualSpacing/>
        <w:rPr>
          <w:rFonts w:ascii="宋体" w:hAnsi="宋体"/>
        </w:rPr>
      </w:pPr>
      <w:r>
        <w:rPr>
          <w:rFonts w:hint="eastAsia" w:ascii="宋体" w:hAnsi="宋体"/>
        </w:rPr>
        <w:t xml:space="preserve">理财计划投资品种、投资起点金额、收益支付方式：参照对应期次的《理财计划产品说明书》中的条款约定。 </w:t>
      </w:r>
    </w:p>
    <w:p>
      <w:pPr>
        <w:widowControl/>
        <w:numPr>
          <w:ilvl w:val="0"/>
          <w:numId w:val="27"/>
        </w:numPr>
        <w:spacing w:line="360" w:lineRule="auto"/>
        <w:contextualSpacing/>
        <w:rPr>
          <w:rFonts w:ascii="宋体" w:hAnsi="宋体"/>
        </w:rPr>
      </w:pPr>
      <w:r>
        <w:rPr>
          <w:rFonts w:hint="eastAsia" w:ascii="宋体" w:hAnsi="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27"/>
        </w:numPr>
        <w:spacing w:line="360" w:lineRule="auto"/>
        <w:contextualSpacing/>
        <w:rPr>
          <w:rFonts w:ascii="宋体" w:hAnsi="宋体"/>
        </w:rPr>
      </w:pPr>
      <w:r>
        <w:rPr>
          <w:rFonts w:hint="eastAsia" w:ascii="宋体" w:hAnsi="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Times New Roman" w:hAnsi="Times New Roman"/>
          <w:b/>
          <w:bCs/>
        </w:rPr>
      </w:pPr>
    </w:p>
    <w:p>
      <w:pPr>
        <w:numPr>
          <w:ilvl w:val="0"/>
          <w:numId w:val="24"/>
        </w:numPr>
        <w:spacing w:line="360" w:lineRule="auto"/>
        <w:ind w:firstLine="422" w:firstLineChars="200"/>
        <w:rPr>
          <w:rFonts w:ascii="宋体" w:hAnsi="宋体"/>
          <w:b/>
          <w:bCs/>
        </w:rPr>
      </w:pPr>
      <w:r>
        <w:rPr>
          <w:rFonts w:hint="eastAsia" w:ascii="宋体" w:hAnsi="宋体"/>
          <w:b/>
          <w:bCs/>
        </w:rPr>
        <w:t>税收处理</w:t>
      </w:r>
    </w:p>
    <w:p>
      <w:pPr>
        <w:widowControl/>
        <w:spacing w:line="360" w:lineRule="auto"/>
        <w:ind w:firstLine="420" w:firstLineChars="200"/>
        <w:contextualSpacing/>
        <w:rPr>
          <w:rFonts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rPr>
      </w:pPr>
    </w:p>
    <w:p>
      <w:pPr>
        <w:numPr>
          <w:ilvl w:val="0"/>
          <w:numId w:val="24"/>
        </w:numPr>
        <w:spacing w:line="360" w:lineRule="auto"/>
        <w:ind w:firstLine="422" w:firstLineChars="200"/>
        <w:rPr>
          <w:rFonts w:ascii="宋体" w:hAnsi="宋体"/>
          <w:b/>
          <w:bCs/>
        </w:rPr>
      </w:pPr>
      <w:r>
        <w:rPr>
          <w:rFonts w:hint="eastAsia" w:ascii="宋体" w:hAnsi="宋体"/>
          <w:b/>
          <w:bCs/>
        </w:rPr>
        <w:t>违约责任及免责条款</w:t>
      </w:r>
    </w:p>
    <w:p>
      <w:pPr>
        <w:widowControl/>
        <w:numPr>
          <w:ilvl w:val="0"/>
          <w:numId w:val="28"/>
        </w:numPr>
        <w:spacing w:line="360" w:lineRule="auto"/>
        <w:contextualSpacing/>
        <w:rPr>
          <w:rFonts w:ascii="宋体" w:hAnsi="宋体"/>
        </w:rPr>
      </w:pPr>
      <w:r>
        <w:rPr>
          <w:rFonts w:hint="eastAsia" w:ascii="宋体" w:hAnsi="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28"/>
        </w:numPr>
        <w:spacing w:line="360" w:lineRule="auto"/>
        <w:contextualSpacing/>
        <w:rPr>
          <w:rFonts w:ascii="宋体" w:hAnsi="宋体"/>
        </w:rPr>
      </w:pPr>
      <w:r>
        <w:rPr>
          <w:rFonts w:hint="eastAsia" w:ascii="宋体" w:hAnsi="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28"/>
        </w:numPr>
        <w:spacing w:line="360" w:lineRule="auto"/>
        <w:contextualSpacing/>
        <w:rPr>
          <w:rFonts w:ascii="宋体" w:hAnsi="宋体"/>
        </w:rPr>
      </w:pPr>
      <w:r>
        <w:rPr>
          <w:rFonts w:hint="eastAsia" w:ascii="宋体" w:hAnsi="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28"/>
        </w:numPr>
        <w:spacing w:line="360" w:lineRule="auto"/>
        <w:contextualSpacing/>
        <w:rPr>
          <w:rFonts w:ascii="宋体" w:hAnsi="宋体"/>
        </w:rPr>
      </w:pPr>
      <w:r>
        <w:rPr>
          <w:rFonts w:hint="eastAsia" w:ascii="宋体" w:hAnsi="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28"/>
        </w:numPr>
        <w:spacing w:line="360" w:lineRule="auto"/>
        <w:contextualSpacing/>
        <w:rPr>
          <w:rFonts w:ascii="宋体" w:hAnsi="宋体"/>
        </w:rPr>
      </w:pPr>
      <w:r>
        <w:rPr>
          <w:rFonts w:hint="eastAsia" w:ascii="宋体" w:hAnsi="宋体"/>
        </w:rPr>
        <w:t>因国家有关法律、法规、规章、政策的修改或新的法律、法规、规章、政策颁布以及紧急措施的出台导致的风险及损失，管理人不承担责任。</w:t>
      </w:r>
    </w:p>
    <w:p>
      <w:pPr>
        <w:widowControl/>
        <w:numPr>
          <w:ilvl w:val="0"/>
          <w:numId w:val="28"/>
        </w:numPr>
        <w:spacing w:line="360" w:lineRule="auto"/>
        <w:contextualSpacing/>
        <w:rPr>
          <w:rFonts w:ascii="宋体" w:hAnsi="宋体"/>
        </w:rPr>
      </w:pPr>
      <w:r>
        <w:rPr>
          <w:rFonts w:hint="eastAsia" w:ascii="宋体" w:hAnsi="宋体"/>
        </w:rPr>
        <w:t>管理人若严格按照产品说明书相关规定进行投资运作，给投资者造成损失的，应免除管理人责任。</w:t>
      </w:r>
    </w:p>
    <w:p>
      <w:pPr>
        <w:widowControl/>
        <w:spacing w:line="360" w:lineRule="auto"/>
        <w:contextualSpacing/>
        <w:rPr>
          <w:rFonts w:ascii="宋体" w:hAnsi="宋体"/>
        </w:rPr>
      </w:pPr>
    </w:p>
    <w:p>
      <w:pPr>
        <w:numPr>
          <w:ilvl w:val="0"/>
          <w:numId w:val="24"/>
        </w:numPr>
        <w:spacing w:line="360" w:lineRule="auto"/>
        <w:ind w:firstLine="422" w:firstLineChars="200"/>
        <w:rPr>
          <w:rFonts w:ascii="Times New Roman" w:hAnsi="Times New Roman"/>
          <w:b/>
          <w:bCs/>
        </w:rPr>
      </w:pPr>
      <w:r>
        <w:rPr>
          <w:rFonts w:hint="eastAsia" w:ascii="宋体" w:hAnsi="宋体"/>
          <w:b/>
          <w:bCs/>
        </w:rPr>
        <w:t>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Times New Roman" w:hAnsi="Times New Roman"/>
          <w:b/>
          <w:bCs/>
        </w:rPr>
      </w:pPr>
    </w:p>
    <w:p>
      <w:pPr>
        <w:numPr>
          <w:ilvl w:val="0"/>
          <w:numId w:val="24"/>
        </w:numPr>
        <w:spacing w:line="360" w:lineRule="auto"/>
        <w:ind w:firstLine="422" w:firstLineChars="200"/>
        <w:rPr>
          <w:rFonts w:ascii="宋体" w:hAnsi="宋体"/>
          <w:b/>
          <w:bCs/>
        </w:rPr>
      </w:pPr>
      <w:r>
        <w:rPr>
          <w:rFonts w:hint="eastAsia" w:ascii="宋体" w:hAnsi="宋体"/>
          <w:b/>
          <w:bCs/>
        </w:rPr>
        <w:t>协议生效和终止</w:t>
      </w:r>
    </w:p>
    <w:p>
      <w:pPr>
        <w:widowControl/>
        <w:numPr>
          <w:ilvl w:val="0"/>
          <w:numId w:val="29"/>
        </w:numPr>
        <w:spacing w:line="360" w:lineRule="auto"/>
        <w:contextualSpacing/>
        <w:rPr>
          <w:rFonts w:ascii="宋体" w:hAnsi="宋体"/>
        </w:rPr>
      </w:pPr>
      <w:r>
        <w:rPr>
          <w:rFonts w:hint="eastAsia" w:ascii="宋体" w:hAnsi="宋体"/>
        </w:rPr>
        <w:t xml:space="preserve">投资者和管理人双方认可本协议可以纸质或电子数据等形式提交、订立或确认。 </w:t>
      </w:r>
    </w:p>
    <w:p>
      <w:pPr>
        <w:widowControl/>
        <w:numPr>
          <w:ilvl w:val="0"/>
          <w:numId w:val="29"/>
        </w:numPr>
        <w:spacing w:line="360" w:lineRule="auto"/>
        <w:contextualSpacing/>
        <w:rPr>
          <w:rFonts w:ascii="宋体" w:hAnsi="宋体"/>
        </w:rPr>
      </w:pPr>
      <w:r>
        <w:rPr>
          <w:rFonts w:hint="eastAsia" w:ascii="宋体" w:hAnsi="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29"/>
        </w:numPr>
        <w:spacing w:line="360" w:lineRule="auto"/>
        <w:contextualSpacing/>
        <w:rPr>
          <w:rFonts w:ascii="宋体" w:hAnsi="宋体"/>
        </w:rPr>
      </w:pPr>
      <w:r>
        <w:rPr>
          <w:rFonts w:hint="eastAsia" w:ascii="宋体" w:hAnsi="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29"/>
        </w:numPr>
        <w:spacing w:line="360" w:lineRule="auto"/>
        <w:contextualSpacing/>
        <w:rPr>
          <w:rFonts w:ascii="宋体" w:hAnsi="宋体"/>
        </w:rPr>
      </w:pPr>
      <w:r>
        <w:rPr>
          <w:rFonts w:hint="eastAsia" w:ascii="宋体" w:hAnsi="宋体"/>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rPr>
      </w:pPr>
    </w:p>
    <w:p>
      <w:pPr>
        <w:numPr>
          <w:ilvl w:val="0"/>
          <w:numId w:val="24"/>
        </w:numPr>
        <w:spacing w:line="360" w:lineRule="auto"/>
        <w:ind w:firstLine="422" w:firstLineChars="200"/>
        <w:rPr>
          <w:rFonts w:ascii="Times New Roman" w:hAnsi="Times New Roman"/>
          <w:b/>
          <w:bCs/>
        </w:rPr>
      </w:pPr>
      <w:r>
        <w:rPr>
          <w:rFonts w:hint="eastAsia" w:ascii="宋体" w:hAnsi="宋体"/>
          <w:b/>
          <w:bCs/>
        </w:rPr>
        <w:t>附则</w:t>
      </w:r>
    </w:p>
    <w:p>
      <w:pPr>
        <w:widowControl/>
        <w:numPr>
          <w:ilvl w:val="0"/>
          <w:numId w:val="30"/>
        </w:numPr>
        <w:spacing w:line="360" w:lineRule="auto"/>
        <w:contextualSpacing/>
        <w:rPr>
          <w:rFonts w:ascii="宋体" w:hAnsi="宋体"/>
        </w:rPr>
      </w:pPr>
      <w:r>
        <w:rPr>
          <w:rFonts w:hint="eastAsia" w:ascii="宋体" w:hAnsi="宋体"/>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numPr>
          <w:ilvl w:val="0"/>
          <w:numId w:val="30"/>
        </w:numPr>
        <w:spacing w:line="360" w:lineRule="auto"/>
        <w:contextualSpacing/>
        <w:rPr>
          <w:rFonts w:ascii="宋体" w:hAnsi="宋体"/>
        </w:rPr>
      </w:pPr>
      <w:r>
        <w:rPr>
          <w:rFonts w:hint="eastAsia" w:ascii="宋体" w:hAnsi="宋体"/>
        </w:rPr>
        <w:t>如果由于任何原因使本合同下的任何条款或内容成为无效或被依法撤销，本合同其他条款或内容的合法性、有效性和可执行性不受影响。</w:t>
      </w:r>
    </w:p>
    <w:p>
      <w:pPr>
        <w:widowControl/>
        <w:numPr>
          <w:ilvl w:val="0"/>
          <w:numId w:val="30"/>
        </w:numPr>
        <w:spacing w:line="360" w:lineRule="auto"/>
        <w:contextualSpacing/>
        <w:rPr>
          <w:rFonts w:ascii="宋体" w:hAnsi="宋体"/>
        </w:rPr>
      </w:pPr>
      <w:r>
        <w:rPr>
          <w:rFonts w:hint="eastAsia" w:ascii="宋体" w:hAnsi="宋体"/>
        </w:rPr>
        <w:t>在理财计划存续期内，如因监管政策或法律法规发生变化，在不损害投资者利益的前提下，管理人有权单方对理财计划合同进行修订。</w:t>
      </w:r>
    </w:p>
    <w:p>
      <w:pPr>
        <w:spacing w:line="360" w:lineRule="auto"/>
        <w:rPr>
          <w:rFonts w:ascii="宋体" w:hAnsi="宋体"/>
          <w:color w:val="000000"/>
        </w:rPr>
      </w:pPr>
    </w:p>
    <w:p>
      <w:pPr>
        <w:spacing w:line="360" w:lineRule="auto"/>
        <w:rPr>
          <w:rFonts w:ascii="宋体" w:hAnsi="宋体"/>
          <w:color w:val="000000"/>
        </w:rPr>
      </w:pPr>
    </w:p>
    <w:p>
      <w:pPr>
        <w:pStyle w:val="10"/>
        <w:widowControl/>
        <w:spacing w:line="360" w:lineRule="auto"/>
        <w:jc w:val="right"/>
        <w:rPr>
          <w:rFonts w:hint="eastAsia" w:ascii="宋体" w:hAnsi="Wingdings"/>
          <w:color w:val="000000"/>
          <w:kern w:val="0"/>
          <w:sz w:val="21"/>
          <w:szCs w:val="21"/>
        </w:rPr>
      </w:pPr>
      <w:r>
        <w:rPr>
          <w:rFonts w:hint="eastAsia" w:ascii="宋体" w:hAnsi="宋体"/>
          <w:kern w:val="0"/>
          <w:sz w:val="21"/>
          <w:szCs w:val="21"/>
        </w:rPr>
        <w:t>杭银理财有限责任公司</w:t>
      </w: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pStyle w:val="10"/>
        <w:widowControl/>
        <w:spacing w:line="360" w:lineRule="auto"/>
        <w:jc w:val="center"/>
        <w:rPr>
          <w:rFonts w:ascii="宋体" w:hAnsi="宋体" w:cs="宋体"/>
          <w:kern w:val="0"/>
          <w:sz w:val="21"/>
          <w:szCs w:val="21"/>
        </w:rPr>
      </w:pPr>
      <w:r>
        <w:rPr>
          <w:rFonts w:hint="eastAsia" w:ascii="宋体" w:hAnsi="宋体" w:cs="宋体"/>
          <w:b/>
          <w:sz w:val="32"/>
          <w:szCs w:val="32"/>
        </w:rPr>
        <w:t>杭银理财理财计划销售协议书</w:t>
      </w:r>
    </w:p>
    <w:p>
      <w:pPr>
        <w:jc w:val="center"/>
        <w:rPr>
          <w:rFonts w:ascii="宋体" w:hAnsi="宋体" w:cs="宋体"/>
        </w:rPr>
      </w:pPr>
      <w:r>
        <w:rPr>
          <w:rFonts w:hint="eastAsia" w:ascii="宋体" w:hAnsi="宋体" w:cs="宋体"/>
          <w:szCs w:val="21"/>
        </w:rPr>
        <w:t>（202101版）</w:t>
      </w:r>
    </w:p>
    <w:p>
      <w:pPr>
        <w:autoSpaceDE w:val="0"/>
        <w:spacing w:line="360" w:lineRule="auto"/>
        <w:jc w:val="center"/>
      </w:pPr>
    </w:p>
    <w:p>
      <w:pPr>
        <w:autoSpaceDE w:val="0"/>
        <w:spacing w:line="360" w:lineRule="auto"/>
        <w:ind w:firstLine="422" w:firstLineChars="200"/>
        <w:rPr>
          <w:rFonts w:ascii="宋体" w:hAnsi="宋体"/>
          <w:b/>
          <w:sz w:val="21"/>
        </w:rPr>
      </w:pPr>
      <w:r>
        <w:rPr>
          <w:rFonts w:hint="eastAsia" w:ascii="宋体" w:hAnsi="宋体"/>
          <w:b/>
          <w:sz w:val="21"/>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b/>
          <w:sz w:val="21"/>
        </w:rPr>
      </w:pPr>
      <w:r>
        <w:rPr>
          <w:rFonts w:hint="eastAsia" w:ascii="宋体" w:hAnsi="宋体"/>
          <w:b/>
          <w:sz w:val="21"/>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sz w:val="21"/>
        </w:rPr>
      </w:pPr>
      <w:r>
        <w:rPr>
          <w:rFonts w:hint="eastAsia" w:ascii="宋体" w:hAnsi="宋体"/>
          <w:sz w:val="21"/>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sz w:val="21"/>
        </w:rPr>
      </w:pPr>
      <w:r>
        <w:rPr>
          <w:rFonts w:hint="eastAsia" w:ascii="宋体" w:hAnsi="宋体"/>
          <w:sz w:val="21"/>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sz w:val="21"/>
        </w:rPr>
      </w:pPr>
    </w:p>
    <w:p>
      <w:pPr>
        <w:widowControl/>
        <w:numPr>
          <w:ilvl w:val="0"/>
          <w:numId w:val="31"/>
        </w:numPr>
        <w:autoSpaceDE w:val="0"/>
        <w:spacing w:line="360" w:lineRule="auto"/>
        <w:ind w:firstLine="422" w:firstLineChars="200"/>
        <w:rPr>
          <w:rFonts w:ascii="宋体" w:hAnsi="宋体"/>
          <w:b/>
          <w:sz w:val="21"/>
        </w:rPr>
      </w:pPr>
      <w:r>
        <w:rPr>
          <w:rFonts w:hint="eastAsia" w:ascii="宋体" w:hAnsi="宋体"/>
          <w:b/>
          <w:sz w:val="21"/>
        </w:rPr>
        <w:t>名词释义</w:t>
      </w:r>
    </w:p>
    <w:p>
      <w:pPr>
        <w:widowControl/>
        <w:autoSpaceDE w:val="0"/>
        <w:spacing w:line="360" w:lineRule="auto"/>
        <w:ind w:firstLine="420" w:firstLineChars="200"/>
        <w:jc w:val="left"/>
        <w:rPr>
          <w:rFonts w:ascii="宋体" w:hAnsi="宋体"/>
          <w:sz w:val="21"/>
        </w:rPr>
      </w:pPr>
      <w:r>
        <w:rPr>
          <w:rFonts w:hint="eastAsia" w:ascii="宋体" w:hAnsi="宋体"/>
          <w:sz w:val="21"/>
        </w:rPr>
        <w:t>详见对应期次的理财计划产品说明书“释义”部分。</w:t>
      </w:r>
    </w:p>
    <w:p>
      <w:pPr>
        <w:widowControl/>
        <w:autoSpaceDE w:val="0"/>
        <w:spacing w:line="360" w:lineRule="auto"/>
        <w:ind w:firstLine="420" w:firstLineChars="200"/>
        <w:jc w:val="left"/>
        <w:rPr>
          <w:rFonts w:ascii="宋体" w:hAnsi="宋体"/>
          <w:sz w:val="21"/>
        </w:rPr>
      </w:pPr>
    </w:p>
    <w:p>
      <w:pPr>
        <w:widowControl/>
        <w:numPr>
          <w:ilvl w:val="0"/>
          <w:numId w:val="31"/>
        </w:numPr>
        <w:autoSpaceDE w:val="0"/>
        <w:spacing w:line="360" w:lineRule="auto"/>
        <w:ind w:firstLine="422" w:firstLineChars="200"/>
        <w:rPr>
          <w:rFonts w:ascii="宋体" w:hAnsi="宋体"/>
          <w:b/>
          <w:sz w:val="21"/>
        </w:rPr>
      </w:pPr>
      <w:r>
        <w:rPr>
          <w:rFonts w:hint="eastAsia" w:ascii="宋体" w:hAnsi="宋体"/>
          <w:b/>
          <w:sz w:val="21"/>
        </w:rPr>
        <w:t>投资者权利与义务</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sz w:val="21"/>
          <w:szCs w:val="21"/>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投资者保证自身完全了解理财投资的性质，投资所涉及的风险以及自身风险承受能力，在慎重考虑后独立作出交易决定。</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b/>
          <w:sz w:val="21"/>
          <w:szCs w:val="21"/>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sz w:val="21"/>
          <w:szCs w:val="21"/>
        </w:rPr>
        <w:t>投资冷静期相关约定详见理财计划产品说明书。</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投资者保证其有权利签署本协议和履行本协议所述的义务，并已为此采取一切所需的行为。</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b/>
          <w:sz w:val="21"/>
          <w:szCs w:val="21"/>
        </w:rPr>
        <w:t>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sz w:val="21"/>
          <w:szCs w:val="21"/>
        </w:rPr>
        <w:t>。</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本协议终止前，投资者不得将授权指定账户销户。若发生因投资者注销授权指定账户造成理财计划无法正常兑付的，代理销售机构不承担任何责任。</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投资者对本协议及其条款负有保密义务，未经代理销售机构书面许可，不得向任何组织、个人提供或泄露与代理销售机构有关的业务资料及信息，但法律、法规另有规定的除外。</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投资者进行投资时，应严格遵守反洗钱相关法规的规定，切实履行反洗钱及反恐怖融资义务。</w:t>
      </w:r>
    </w:p>
    <w:p>
      <w:pPr>
        <w:pStyle w:val="10"/>
        <w:widowControl/>
        <w:numPr>
          <w:ilvl w:val="0"/>
          <w:numId w:val="32"/>
        </w:numPr>
        <w:spacing w:line="360" w:lineRule="auto"/>
        <w:contextualSpacing/>
        <w:rPr>
          <w:rFonts w:ascii="宋体" w:hAnsi="宋体" w:cs="黑体"/>
          <w:b/>
          <w:sz w:val="21"/>
          <w:szCs w:val="21"/>
        </w:rPr>
      </w:pPr>
      <w:r>
        <w:rPr>
          <w:rFonts w:hint="eastAsia" w:ascii="宋体" w:hAnsi="宋体" w:cs="黑体"/>
          <w:b/>
          <w:sz w:val="21"/>
          <w:szCs w:val="21"/>
        </w:rPr>
        <w:t>投资者个人信息授权</w:t>
      </w:r>
    </w:p>
    <w:p>
      <w:pPr>
        <w:pStyle w:val="10"/>
        <w:widowControl/>
        <w:spacing w:line="360" w:lineRule="auto"/>
        <w:ind w:firstLine="422" w:firstLineChars="200"/>
        <w:rPr>
          <w:rFonts w:ascii="宋体" w:hAnsi="宋体" w:cs="黑体"/>
          <w:b/>
          <w:sz w:val="21"/>
          <w:szCs w:val="21"/>
        </w:rPr>
      </w:pPr>
      <w:r>
        <w:rPr>
          <w:rFonts w:hint="eastAsia" w:ascii="宋体" w:hAnsi="宋体" w:cs="黑体"/>
          <w:b/>
          <w:sz w:val="21"/>
          <w:szCs w:val="21"/>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pStyle w:val="10"/>
        <w:widowControl/>
        <w:spacing w:line="360" w:lineRule="auto"/>
        <w:ind w:firstLine="422" w:firstLineChars="200"/>
        <w:rPr>
          <w:rFonts w:ascii="宋体" w:hAnsi="宋体" w:cs="黑体"/>
          <w:b/>
          <w:sz w:val="21"/>
          <w:szCs w:val="21"/>
        </w:rPr>
      </w:pPr>
    </w:p>
    <w:p>
      <w:pPr>
        <w:widowControl/>
        <w:numPr>
          <w:ilvl w:val="0"/>
          <w:numId w:val="31"/>
        </w:numPr>
        <w:autoSpaceDE w:val="0"/>
        <w:spacing w:line="360" w:lineRule="auto"/>
        <w:ind w:firstLine="422" w:firstLineChars="200"/>
        <w:rPr>
          <w:rFonts w:ascii="宋体" w:hAnsi="宋体"/>
          <w:b/>
          <w:sz w:val="21"/>
        </w:rPr>
      </w:pPr>
      <w:r>
        <w:rPr>
          <w:rFonts w:hint="eastAsia" w:ascii="宋体" w:hAnsi="宋体"/>
          <w:b/>
          <w:sz w:val="21"/>
        </w:rPr>
        <w:t>代理销售机构的权利与义务</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b/>
          <w:sz w:val="21"/>
          <w:szCs w:val="21"/>
        </w:rPr>
        <w:t>代理销售机构非本计划的发行、管理机构，对本计划的业绩不承担任何保证和其他经济责任，不承担本计划的投资、兑付和风险管理责任</w:t>
      </w:r>
      <w:r>
        <w:rPr>
          <w:rFonts w:hint="eastAsia" w:ascii="宋体" w:hAnsi="宋体" w:cs="黑体"/>
          <w:sz w:val="21"/>
          <w:szCs w:val="21"/>
        </w:rPr>
        <w:t>。</w:t>
      </w:r>
    </w:p>
    <w:p>
      <w:pPr>
        <w:pStyle w:val="10"/>
        <w:widowControl/>
        <w:numPr>
          <w:ilvl w:val="0"/>
          <w:numId w:val="33"/>
        </w:numPr>
        <w:autoSpaceDE w:val="0"/>
        <w:spacing w:line="360" w:lineRule="auto"/>
        <w:contextualSpacing/>
        <w:rPr>
          <w:rFonts w:ascii="宋体" w:hAnsi="宋体" w:cs="黑体"/>
          <w:sz w:val="21"/>
          <w:szCs w:val="21"/>
        </w:rPr>
      </w:pPr>
      <w:r>
        <w:rPr>
          <w:rFonts w:hint="eastAsia" w:ascii="宋体" w:hAnsi="宋体" w:cs="黑体"/>
          <w:sz w:val="21"/>
          <w:szCs w:val="21"/>
        </w:rPr>
        <w:t>代理销售机构应定期对购买其代理销售的理财计划的非机构投资者进行有效风险承受能力评估，并保证向投资者推介及销售与其风险承受能力匹配的产品。</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pStyle w:val="10"/>
        <w:widowControl/>
        <w:numPr>
          <w:ilvl w:val="0"/>
          <w:numId w:val="33"/>
        </w:numPr>
        <w:autoSpaceDE w:val="0"/>
        <w:spacing w:line="360" w:lineRule="auto"/>
        <w:contextualSpacing/>
        <w:rPr>
          <w:rFonts w:ascii="宋体" w:hAnsi="宋体" w:cs="黑体"/>
          <w:sz w:val="21"/>
          <w:szCs w:val="21"/>
        </w:rPr>
      </w:pPr>
      <w:r>
        <w:rPr>
          <w:rFonts w:hint="eastAsia" w:ascii="宋体" w:hAnsi="宋体" w:cs="黑体"/>
          <w:sz w:val="21"/>
          <w:szCs w:val="21"/>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代理销售机构应建立健全上岗资格、持续培训、信息公示与查询核实等制度并有效执行。未经代理销售机构进行上岗资格认定并签订劳动合同，任何人员不得从事理财计划销售业务活动。</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代理销售机构应对所有销售人员信息进行登记和公示。销售人员在向投资者宣传销售理财计划前进行自我介绍并告知信息查询和核实渠道，便于投资者查询核实，防止伪冒身份和虚假宣传。</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代理销售机构对投资者负有信息保密义务，未经投资者书面许可，乙方不得向任何组织、个人提供或泄露与甲方有关的业务资料及信息，但法律、法规另有规定的除外。</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代理销售机构应按照法律法规、监管规定、理财计划合同的约定收取销售费用，并如实核算、记账。未经载明，不得对不同投资者适用不同费率。</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理财计划销售结算资金属于理财计划投资者，代理销售机构不得挪用理财计划销售结算资金或将理财计划销售结算资金归入自有资产。</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代理销售机构应遵守相关法律、法规、监管规定及理财计划合同约定，诚实守信、勤勉尽责，向购买理财计划的投资者充分传递管理人披露的产品相关信息并进行充分的风险揭示。</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代理销售机构应当充分利用科技手段，加强对伪冒网站、伪冒产品等监测，有效防范各类欺诈风险。</w:t>
      </w:r>
    </w:p>
    <w:p>
      <w:pPr>
        <w:pStyle w:val="10"/>
        <w:widowControl/>
        <w:autoSpaceDE w:val="0"/>
        <w:spacing w:line="360" w:lineRule="auto"/>
        <w:ind w:left="482"/>
        <w:contextualSpacing/>
        <w:jc w:val="left"/>
        <w:rPr>
          <w:rFonts w:ascii="宋体" w:hAnsi="宋体" w:cs="黑体"/>
          <w:b/>
          <w:sz w:val="21"/>
          <w:szCs w:val="21"/>
        </w:rPr>
      </w:pPr>
    </w:p>
    <w:p>
      <w:pPr>
        <w:widowControl/>
        <w:numPr>
          <w:ilvl w:val="0"/>
          <w:numId w:val="31"/>
        </w:numPr>
        <w:autoSpaceDE w:val="0"/>
        <w:spacing w:line="360" w:lineRule="auto"/>
        <w:ind w:firstLine="422" w:firstLineChars="200"/>
        <w:rPr>
          <w:rFonts w:ascii="宋体" w:hAnsi="宋体"/>
          <w:b/>
          <w:sz w:val="21"/>
        </w:rPr>
      </w:pPr>
      <w:r>
        <w:rPr>
          <w:rFonts w:hint="eastAsia" w:ascii="宋体" w:hAnsi="宋体"/>
          <w:b/>
          <w:sz w:val="21"/>
        </w:rPr>
        <w:t>理财计划认（申）购、赎回及终止</w:t>
      </w:r>
    </w:p>
    <w:p>
      <w:pPr>
        <w:pStyle w:val="10"/>
        <w:widowControl/>
        <w:numPr>
          <w:ilvl w:val="0"/>
          <w:numId w:val="34"/>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理财计划认/申购办理流程：参照投资者权益须知约定。 </w:t>
      </w:r>
    </w:p>
    <w:p>
      <w:pPr>
        <w:pStyle w:val="10"/>
        <w:widowControl/>
        <w:numPr>
          <w:ilvl w:val="0"/>
          <w:numId w:val="34"/>
        </w:numPr>
        <w:autoSpaceDE w:val="0"/>
        <w:spacing w:line="360" w:lineRule="auto"/>
        <w:contextualSpacing/>
        <w:rPr>
          <w:rFonts w:ascii="宋体" w:hAnsi="宋体" w:cs="黑体"/>
          <w:sz w:val="21"/>
          <w:szCs w:val="21"/>
        </w:rPr>
      </w:pPr>
      <w:r>
        <w:rPr>
          <w:rFonts w:hint="eastAsia" w:ascii="宋体" w:hAnsi="宋体" w:cs="黑体"/>
          <w:sz w:val="21"/>
          <w:szCs w:val="21"/>
        </w:rPr>
        <w:t>理财计划认/申购确认：管理人根据代理销售渠道提供的交易信息及资金划付对投资者相应认/申购进行确认。</w:t>
      </w:r>
    </w:p>
    <w:p>
      <w:pPr>
        <w:pStyle w:val="10"/>
        <w:widowControl/>
        <w:numPr>
          <w:ilvl w:val="0"/>
          <w:numId w:val="34"/>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pStyle w:val="10"/>
        <w:widowControl/>
        <w:numPr>
          <w:ilvl w:val="0"/>
          <w:numId w:val="34"/>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理财计划投资品种、投资起点金额、收益支付方式：参照对应期次的理财计划产品说明书中的条款约定。 </w:t>
      </w:r>
    </w:p>
    <w:p>
      <w:pPr>
        <w:pStyle w:val="10"/>
        <w:widowControl/>
        <w:numPr>
          <w:ilvl w:val="0"/>
          <w:numId w:val="34"/>
        </w:numPr>
        <w:autoSpaceDE w:val="0"/>
        <w:spacing w:line="360" w:lineRule="auto"/>
        <w:contextualSpacing/>
        <w:rPr>
          <w:rFonts w:ascii="宋体" w:hAnsi="宋体" w:cs="黑体"/>
          <w:sz w:val="21"/>
          <w:szCs w:val="21"/>
        </w:rPr>
      </w:pPr>
      <w:r>
        <w:rPr>
          <w:rFonts w:hint="eastAsia" w:ascii="宋体" w:hAnsi="宋体" w:cs="黑体"/>
          <w:sz w:val="21"/>
          <w:szCs w:val="21"/>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pStyle w:val="10"/>
        <w:widowControl/>
        <w:numPr>
          <w:ilvl w:val="0"/>
          <w:numId w:val="34"/>
        </w:numPr>
        <w:autoSpaceDE w:val="0"/>
        <w:spacing w:line="360" w:lineRule="auto"/>
        <w:contextualSpacing/>
        <w:rPr>
          <w:rFonts w:ascii="宋体" w:hAnsi="宋体" w:cs="黑体"/>
          <w:sz w:val="21"/>
          <w:szCs w:val="21"/>
        </w:rPr>
      </w:pPr>
      <w:r>
        <w:rPr>
          <w:rFonts w:hint="eastAsia" w:ascii="宋体" w:hAnsi="宋体" w:cs="黑体"/>
          <w:sz w:val="21"/>
          <w:szCs w:val="21"/>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pStyle w:val="10"/>
        <w:widowControl/>
        <w:autoSpaceDE w:val="0"/>
        <w:spacing w:line="360" w:lineRule="auto"/>
        <w:ind w:left="178" w:leftChars="85"/>
        <w:contextualSpacing/>
        <w:rPr>
          <w:rFonts w:ascii="宋体" w:hAnsi="宋体" w:cs="黑体"/>
          <w:b/>
          <w:sz w:val="21"/>
          <w:szCs w:val="21"/>
        </w:rPr>
      </w:pPr>
    </w:p>
    <w:p>
      <w:pPr>
        <w:widowControl/>
        <w:numPr>
          <w:ilvl w:val="0"/>
          <w:numId w:val="31"/>
        </w:numPr>
        <w:autoSpaceDE w:val="0"/>
        <w:spacing w:line="360" w:lineRule="auto"/>
        <w:ind w:firstLine="422" w:firstLineChars="200"/>
        <w:rPr>
          <w:rFonts w:ascii="宋体" w:hAnsi="宋体"/>
          <w:b/>
          <w:sz w:val="21"/>
        </w:rPr>
      </w:pPr>
      <w:r>
        <w:rPr>
          <w:rFonts w:hint="eastAsia" w:ascii="宋体" w:hAnsi="宋体"/>
          <w:b/>
          <w:sz w:val="21"/>
        </w:rPr>
        <w:t>违约责任及免责条款</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若由于代理销售机构过错导致理财计划资产发生损失，代理销售机构应按其过错承担赔偿责任，代理销售机构赔偿的款项计入理财计划的资产和收益。</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因国家有关法律、法规、规章、政策的修改或新的法律、法规、规章、政策颁布以及紧急措施的出台导致的风险及损失，代理销售机构不承担责任。</w:t>
      </w:r>
    </w:p>
    <w:p>
      <w:pPr>
        <w:pStyle w:val="10"/>
        <w:widowControl/>
        <w:autoSpaceDE w:val="0"/>
        <w:spacing w:line="360" w:lineRule="auto"/>
        <w:rPr>
          <w:rFonts w:ascii="宋体" w:hAnsi="宋体" w:cs="黑体"/>
          <w:b/>
          <w:sz w:val="21"/>
          <w:szCs w:val="21"/>
        </w:rPr>
      </w:pPr>
    </w:p>
    <w:p>
      <w:pPr>
        <w:widowControl/>
        <w:numPr>
          <w:ilvl w:val="0"/>
          <w:numId w:val="31"/>
        </w:numPr>
        <w:autoSpaceDE w:val="0"/>
        <w:spacing w:line="360" w:lineRule="auto"/>
        <w:ind w:firstLine="422" w:firstLineChars="200"/>
        <w:rPr>
          <w:rFonts w:ascii="宋体" w:hAnsi="宋体"/>
          <w:b/>
          <w:sz w:val="21"/>
        </w:rPr>
      </w:pPr>
      <w:r>
        <w:rPr>
          <w:rFonts w:hint="eastAsia" w:ascii="宋体" w:hAnsi="宋体"/>
          <w:b/>
          <w:sz w:val="21"/>
        </w:rPr>
        <w:t>适用法律与争议解决</w:t>
      </w:r>
    </w:p>
    <w:p>
      <w:pPr>
        <w:pStyle w:val="10"/>
        <w:widowControl/>
        <w:autoSpaceDE w:val="0"/>
        <w:spacing w:line="360" w:lineRule="auto"/>
        <w:ind w:firstLine="420" w:firstLineChars="200"/>
        <w:rPr>
          <w:rFonts w:ascii="宋体" w:hAnsi="宋体" w:cs="黑体"/>
          <w:sz w:val="21"/>
          <w:szCs w:val="21"/>
        </w:rPr>
      </w:pPr>
      <w:r>
        <w:rPr>
          <w:rFonts w:hint="eastAsia" w:ascii="宋体" w:hAnsi="宋体" w:cs="黑体"/>
          <w:sz w:val="21"/>
          <w:szCs w:val="21"/>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pStyle w:val="10"/>
        <w:widowControl/>
        <w:autoSpaceDE w:val="0"/>
        <w:spacing w:line="360" w:lineRule="auto"/>
        <w:ind w:firstLine="422" w:firstLineChars="200"/>
        <w:rPr>
          <w:rFonts w:ascii="宋体" w:hAnsi="宋体" w:cs="黑体"/>
          <w:b/>
          <w:sz w:val="21"/>
          <w:szCs w:val="21"/>
        </w:rPr>
      </w:pPr>
    </w:p>
    <w:p>
      <w:pPr>
        <w:widowControl/>
        <w:numPr>
          <w:ilvl w:val="0"/>
          <w:numId w:val="31"/>
        </w:numPr>
        <w:autoSpaceDE w:val="0"/>
        <w:spacing w:line="360" w:lineRule="auto"/>
        <w:ind w:firstLine="422" w:firstLineChars="200"/>
        <w:rPr>
          <w:rFonts w:ascii="宋体" w:hAnsi="宋体"/>
          <w:b/>
          <w:sz w:val="21"/>
        </w:rPr>
      </w:pPr>
      <w:r>
        <w:rPr>
          <w:rFonts w:hint="eastAsia" w:ascii="宋体" w:hAnsi="宋体"/>
          <w:b/>
          <w:sz w:val="21"/>
        </w:rPr>
        <w:t>协议生效和终止</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投资者和代理销售机构双方认可本协议可以纸质或电子数据等形式提交、订立或确认。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本协议书以纸质书面形式订立的，自投资者签字和代理销售机构签章之后立即生效。协议一式叁份，投资者、管理人和代理销售机构各执壹份，具有同等法律效力。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投资者和代理销售机构双方在本协议及对应期次的理财计划产品说明书项下权利义务履行完毕之日，本协议自动终止。</w:t>
      </w:r>
    </w:p>
    <w:p>
      <w:pPr>
        <w:pStyle w:val="10"/>
        <w:widowControl/>
        <w:autoSpaceDE w:val="0"/>
        <w:spacing w:line="360" w:lineRule="auto"/>
        <w:ind w:left="420"/>
        <w:contextualSpacing/>
        <w:rPr>
          <w:rFonts w:ascii="宋体" w:hAnsi="宋体" w:cs="黑体"/>
          <w:sz w:val="21"/>
          <w:szCs w:val="21"/>
        </w:rPr>
      </w:pPr>
    </w:p>
    <w:p>
      <w:pPr>
        <w:widowControl/>
        <w:numPr>
          <w:ilvl w:val="0"/>
          <w:numId w:val="31"/>
        </w:numPr>
        <w:autoSpaceDE w:val="0"/>
        <w:spacing w:line="360" w:lineRule="auto"/>
        <w:ind w:firstLine="422" w:firstLineChars="200"/>
        <w:rPr>
          <w:rFonts w:ascii="宋体" w:hAnsi="宋体"/>
          <w:b/>
          <w:sz w:val="21"/>
        </w:rPr>
      </w:pPr>
      <w:r>
        <w:rPr>
          <w:rFonts w:hint="eastAsia" w:ascii="宋体" w:hAnsi="宋体"/>
          <w:b/>
          <w:sz w:val="21"/>
        </w:rPr>
        <w:t xml:space="preserve">附则 </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如果由于任何原因使本合同下的任何条款或内容成为无效或被依法撤销，本合同其他条款或内容的合法性、有效性和可执行性不受影响。</w:t>
      </w:r>
    </w:p>
    <w:p>
      <w:pPr>
        <w:pStyle w:val="10"/>
        <w:widowControl/>
        <w:numPr>
          <w:ilvl w:val="0"/>
          <w:numId w:val="37"/>
        </w:numPr>
        <w:autoSpaceDE w:val="0"/>
        <w:spacing w:line="360" w:lineRule="auto"/>
        <w:contextualSpacing/>
        <w:rPr>
          <w:rFonts w:ascii="宋体" w:hAnsi="宋体" w:cs="宋体"/>
          <w:sz w:val="21"/>
          <w:szCs w:val="21"/>
        </w:rPr>
      </w:pPr>
      <w:r>
        <w:rPr>
          <w:rFonts w:hint="eastAsia" w:ascii="宋体" w:hAnsi="宋体" w:cs="黑体"/>
          <w:sz w:val="21"/>
          <w:szCs w:val="21"/>
        </w:rPr>
        <w:t>在理财计划存续期内，如因监管政策或法律法规发生变化，在不损害投资者利益的前提下，管理人有权单方对理财计划合同销售文件进行修订。</w:t>
      </w:r>
    </w:p>
    <w:p>
      <w:pPr>
        <w:pStyle w:val="10"/>
        <w:widowControl/>
        <w:tabs>
          <w:tab w:val="left" w:pos="0"/>
        </w:tabs>
        <w:autoSpaceDE w:val="0"/>
        <w:spacing w:line="360" w:lineRule="auto"/>
        <w:ind w:left="420"/>
        <w:contextualSpacing/>
        <w:rPr>
          <w:rFonts w:ascii="宋体" w:hAnsi="宋体" w:cs="宋体"/>
          <w:sz w:val="21"/>
          <w:szCs w:val="21"/>
        </w:rPr>
      </w:pPr>
    </w:p>
    <w:p>
      <w:pPr>
        <w:widowControl/>
        <w:spacing w:line="360" w:lineRule="auto"/>
        <w:jc w:val="right"/>
        <w:rPr>
          <w:rFonts w:ascii="宋体" w:hAnsi="宋体" w:cs="宋体"/>
          <w:color w:val="000000"/>
          <w:kern w:val="0"/>
          <w:sz w:val="21"/>
        </w:rPr>
      </w:pPr>
      <w:r>
        <w:rPr>
          <w:rFonts w:hint="eastAsia" w:ascii="宋体" w:hAnsi="宋体" w:cs="宋体"/>
          <w:kern w:val="0"/>
          <w:sz w:val="21"/>
        </w:rPr>
        <w:t>杭银理财有限责任公司</w:t>
      </w:r>
    </w:p>
    <w:p>
      <w:pPr>
        <w:spacing w:line="360" w:lineRule="auto"/>
        <w:rPr>
          <w:rFonts w:ascii="宋体" w:hAnsi="宋体"/>
          <w:sz w:val="21"/>
        </w:rPr>
      </w:pPr>
      <w:r>
        <w:rPr>
          <w:rFonts w:hint="eastAsia" w:ascii="宋体" w:hAnsi="宋体" w:cs="Times New Roman"/>
          <w:color w:val="000000"/>
          <w:sz w:val="21"/>
        </w:rPr>
        <w:br w:type="page"/>
      </w:r>
      <w:r>
        <w:rPr>
          <w:rFonts w:hint="eastAsia" w:ascii="宋体" w:hAnsi="宋体"/>
          <w:sz w:val="21"/>
        </w:rPr>
        <w:t>本页为纸质形式（如有）销售协议书签章页</w:t>
      </w: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rFonts w:ascii="宋体" w:hAnsi="宋体"/>
          <w:b/>
          <w:sz w:val="21"/>
        </w:rPr>
      </w:pPr>
      <w:r>
        <w:rPr>
          <w:rFonts w:hint="eastAsia" w:ascii="宋体" w:hAnsi="宋体"/>
          <w:b/>
          <w:sz w:val="21"/>
        </w:rPr>
        <w:t>投资者（签字）：</w:t>
      </w:r>
    </w:p>
    <w:p>
      <w:pPr>
        <w:spacing w:beforeLines="50" w:afterLines="50" w:line="360" w:lineRule="auto"/>
        <w:ind w:firstLine="4200" w:firstLineChars="2000"/>
        <w:jc w:val="right"/>
        <w:rPr>
          <w:rFonts w:ascii="Arial" w:hAnsi="Arial" w:cs="Times New Roman"/>
          <w:sz w:val="21"/>
        </w:rPr>
      </w:pPr>
      <w:r>
        <w:rPr>
          <w:rFonts w:hint="eastAsia" w:ascii="Arial" w:hAnsi="Arial" w:cs="宋体"/>
          <w:sz w:val="21"/>
        </w:rPr>
        <w:t>年    月   日</w:t>
      </w: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r>
        <w:rPr>
          <w:rFonts w:hint="eastAsia" w:ascii="宋体" w:hAnsi="宋体"/>
          <w:b/>
          <w:sz w:val="21"/>
        </w:rPr>
        <w:t>代理销售机构签章：</w:t>
      </w:r>
    </w:p>
    <w:p>
      <w:pPr>
        <w:spacing w:line="360" w:lineRule="auto"/>
        <w:rPr>
          <w:rFonts w:ascii="宋体" w:hAnsi="宋体"/>
          <w:b/>
          <w:sz w:val="21"/>
        </w:rPr>
      </w:pPr>
    </w:p>
    <w:p>
      <w:pPr>
        <w:spacing w:line="360" w:lineRule="auto"/>
        <w:rPr>
          <w:rFonts w:ascii="宋体" w:hAnsi="宋体"/>
          <w:b/>
          <w:sz w:val="21"/>
        </w:rPr>
      </w:pPr>
    </w:p>
    <w:p>
      <w:pPr>
        <w:spacing w:line="520" w:lineRule="exact"/>
        <w:ind w:firstLine="424" w:firstLineChars="202"/>
        <w:rPr>
          <w:rFonts w:hint="eastAsia" w:ascii="宋体" w:hAnsi="Wingdings" w:cs="宋体"/>
          <w:color w:val="000000"/>
          <w:kern w:val="0"/>
        </w:rPr>
      </w:pPr>
      <w:r>
        <w:rPr>
          <w:rFonts w:hint="eastAsia" w:ascii="Arial" w:hAnsi="Arial" w:cs="宋体"/>
          <w:sz w:val="21"/>
        </w:rPr>
        <w:t>年    月   日</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06F53F"/>
    <w:multiLevelType w:val="multilevel"/>
    <w:tmpl w:val="AC06F53F"/>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B3339662"/>
    <w:multiLevelType w:val="multilevel"/>
    <w:tmpl w:val="B3339662"/>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F3DD4737"/>
    <w:multiLevelType w:val="multilevel"/>
    <w:tmpl w:val="F3DD4737"/>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F72BC498"/>
    <w:multiLevelType w:val="multilevel"/>
    <w:tmpl w:val="F72BC498"/>
    <w:lvl w:ilvl="0" w:tentative="0">
      <w:start w:val="1"/>
      <w:numFmt w:val="chineseCounting"/>
      <w:suff w:val="space"/>
      <w:lvlText w:val="第%1条"/>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6247AAE"/>
    <w:multiLevelType w:val="multilevel"/>
    <w:tmpl w:val="06247AAE"/>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7">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47E51E6"/>
    <w:multiLevelType w:val="multilevel"/>
    <w:tmpl w:val="147E51E6"/>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1">
    <w:nsid w:val="1A14F15A"/>
    <w:multiLevelType w:val="multilevel"/>
    <w:tmpl w:val="1A14F15A"/>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4">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8">
    <w:nsid w:val="2FC8541D"/>
    <w:multiLevelType w:val="multilevel"/>
    <w:tmpl w:val="2FC8541D"/>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356478AA"/>
    <w:multiLevelType w:val="multilevel"/>
    <w:tmpl w:val="356478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31AE820"/>
    <w:multiLevelType w:val="multilevel"/>
    <w:tmpl w:val="531AE820"/>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5404F3FF"/>
    <w:multiLevelType w:val="singleLevel"/>
    <w:tmpl w:val="5404F3FF"/>
    <w:lvl w:ilvl="0" w:tentative="0">
      <w:start w:val="1"/>
      <w:numFmt w:val="chineseCounting"/>
      <w:suff w:val="nothing"/>
      <w:lvlText w:val="（%1）"/>
      <w:lvlJc w:val="left"/>
      <w:rPr>
        <w:rFonts w:hint="eastAsia"/>
      </w:rPr>
    </w:lvl>
  </w:abstractNum>
  <w:abstractNum w:abstractNumId="25">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7">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5B87B9D3"/>
    <w:multiLevelType w:val="singleLevel"/>
    <w:tmpl w:val="5B87B9D3"/>
    <w:lvl w:ilvl="0" w:tentative="0">
      <w:start w:val="4"/>
      <w:numFmt w:val="chineseCounting"/>
      <w:suff w:val="nothing"/>
      <w:lvlText w:val="（%1）"/>
      <w:lvlJc w:val="left"/>
    </w:lvl>
  </w:abstractNum>
  <w:abstractNum w:abstractNumId="29">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00C5828"/>
    <w:multiLevelType w:val="multilevel"/>
    <w:tmpl w:val="700C5828"/>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73C633A9"/>
    <w:multiLevelType w:val="multilevel"/>
    <w:tmpl w:val="73C633A9"/>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78117D03"/>
    <w:multiLevelType w:val="multilevel"/>
    <w:tmpl w:val="78117D03"/>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6">
    <w:nsid w:val="7FBE672B"/>
    <w:multiLevelType w:val="multilevel"/>
    <w:tmpl w:val="7FBE672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2"/>
  </w:num>
  <w:num w:numId="2">
    <w:abstractNumId w:val="28"/>
  </w:num>
  <w:num w:numId="3">
    <w:abstractNumId w:val="31"/>
  </w:num>
  <w:num w:numId="4">
    <w:abstractNumId w:val="21"/>
  </w:num>
  <w:num w:numId="5">
    <w:abstractNumId w:val="7"/>
  </w:num>
  <w:num w:numId="6">
    <w:abstractNumId w:val="5"/>
  </w:num>
  <w:num w:numId="7">
    <w:abstractNumId w:val="16"/>
  </w:num>
  <w:num w:numId="8">
    <w:abstractNumId w:val="6"/>
  </w:num>
  <w:num w:numId="9">
    <w:abstractNumId w:val="15"/>
  </w:num>
  <w:num w:numId="10">
    <w:abstractNumId w:val="17"/>
  </w:num>
  <w:num w:numId="11">
    <w:abstractNumId w:val="35"/>
  </w:num>
  <w:num w:numId="12">
    <w:abstractNumId w:val="10"/>
  </w:num>
  <w:num w:numId="13">
    <w:abstractNumId w:val="25"/>
  </w:num>
  <w:num w:numId="14">
    <w:abstractNumId w:val="26"/>
  </w:num>
  <w:num w:numId="15">
    <w:abstractNumId w:val="13"/>
  </w:num>
  <w:num w:numId="16">
    <w:abstractNumId w:val="2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
  </w:num>
  <w:num w:numId="33">
    <w:abstractNumId w:val="0"/>
  </w:num>
  <w:num w:numId="34">
    <w:abstractNumId w:val="23"/>
  </w:num>
  <w:num w:numId="35">
    <w:abstractNumId w:val="2"/>
  </w:num>
  <w:num w:numId="36">
    <w:abstractNumId w:val="1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FB1F32"/>
    <w:rsid w:val="022F10A0"/>
    <w:rsid w:val="02C57AC3"/>
    <w:rsid w:val="03710FFC"/>
    <w:rsid w:val="038269B5"/>
    <w:rsid w:val="04CD156A"/>
    <w:rsid w:val="05E21D7D"/>
    <w:rsid w:val="060615E0"/>
    <w:rsid w:val="07EB4709"/>
    <w:rsid w:val="09AC6127"/>
    <w:rsid w:val="0A7B766E"/>
    <w:rsid w:val="0B7A25E3"/>
    <w:rsid w:val="0D50393C"/>
    <w:rsid w:val="0F0043BB"/>
    <w:rsid w:val="105435D8"/>
    <w:rsid w:val="13842138"/>
    <w:rsid w:val="155D0FAE"/>
    <w:rsid w:val="15DD3C7D"/>
    <w:rsid w:val="17E31C97"/>
    <w:rsid w:val="194950A1"/>
    <w:rsid w:val="1AE17164"/>
    <w:rsid w:val="1B8B2D6E"/>
    <w:rsid w:val="1D4B4659"/>
    <w:rsid w:val="1DA941EB"/>
    <w:rsid w:val="21AE43C0"/>
    <w:rsid w:val="24A25592"/>
    <w:rsid w:val="24B6088C"/>
    <w:rsid w:val="255477D3"/>
    <w:rsid w:val="26DB12D6"/>
    <w:rsid w:val="27660D0E"/>
    <w:rsid w:val="28FB441D"/>
    <w:rsid w:val="29526849"/>
    <w:rsid w:val="29E37A3B"/>
    <w:rsid w:val="2A49017D"/>
    <w:rsid w:val="2CF11704"/>
    <w:rsid w:val="2D45719C"/>
    <w:rsid w:val="2DEC75F3"/>
    <w:rsid w:val="2E0B2CD2"/>
    <w:rsid w:val="2E93070A"/>
    <w:rsid w:val="30E90FE8"/>
    <w:rsid w:val="32406CA4"/>
    <w:rsid w:val="32C55323"/>
    <w:rsid w:val="33160ACE"/>
    <w:rsid w:val="35892A55"/>
    <w:rsid w:val="366571B0"/>
    <w:rsid w:val="38C9543A"/>
    <w:rsid w:val="3A4C12C1"/>
    <w:rsid w:val="3BA24BB0"/>
    <w:rsid w:val="3C0E19F9"/>
    <w:rsid w:val="3EDA4CA7"/>
    <w:rsid w:val="3F246D23"/>
    <w:rsid w:val="3F484E1A"/>
    <w:rsid w:val="3FCB3B1C"/>
    <w:rsid w:val="3FF86290"/>
    <w:rsid w:val="42BE4943"/>
    <w:rsid w:val="433D1B9E"/>
    <w:rsid w:val="44421B2F"/>
    <w:rsid w:val="45111D82"/>
    <w:rsid w:val="45603B71"/>
    <w:rsid w:val="45911582"/>
    <w:rsid w:val="4655665E"/>
    <w:rsid w:val="476B1B0C"/>
    <w:rsid w:val="481B099C"/>
    <w:rsid w:val="4ACA4F6B"/>
    <w:rsid w:val="4B7717F1"/>
    <w:rsid w:val="4D2F2C43"/>
    <w:rsid w:val="50B01C04"/>
    <w:rsid w:val="50DD7DA0"/>
    <w:rsid w:val="510826B2"/>
    <w:rsid w:val="52EC289B"/>
    <w:rsid w:val="57B974E6"/>
    <w:rsid w:val="5A726ACA"/>
    <w:rsid w:val="5A8903AA"/>
    <w:rsid w:val="5BA072DA"/>
    <w:rsid w:val="5BCE6A5B"/>
    <w:rsid w:val="5BE91D19"/>
    <w:rsid w:val="5CEF711D"/>
    <w:rsid w:val="5D1D4D55"/>
    <w:rsid w:val="5D8C0A23"/>
    <w:rsid w:val="5E7332FD"/>
    <w:rsid w:val="62C16DB1"/>
    <w:rsid w:val="64EA430A"/>
    <w:rsid w:val="68AD3C29"/>
    <w:rsid w:val="6BB97DF1"/>
    <w:rsid w:val="6BE12EF7"/>
    <w:rsid w:val="6C361A89"/>
    <w:rsid w:val="6C6A476A"/>
    <w:rsid w:val="6CFB1020"/>
    <w:rsid w:val="6E05628E"/>
    <w:rsid w:val="6EB06FA0"/>
    <w:rsid w:val="6EF91A83"/>
    <w:rsid w:val="71D702F4"/>
    <w:rsid w:val="71E47495"/>
    <w:rsid w:val="73277265"/>
    <w:rsid w:val="73417A25"/>
    <w:rsid w:val="73E23960"/>
    <w:rsid w:val="74D218E8"/>
    <w:rsid w:val="75A748C0"/>
    <w:rsid w:val="75F93249"/>
    <w:rsid w:val="78E860BE"/>
    <w:rsid w:val="79B647E0"/>
    <w:rsid w:val="7A5C4717"/>
    <w:rsid w:val="7B69328D"/>
    <w:rsid w:val="7C1927D1"/>
    <w:rsid w:val="7D213B6C"/>
    <w:rsid w:val="7DCF3D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20</Pages>
  <Words>2564</Words>
  <Characters>14621</Characters>
  <Lines>121</Lines>
  <Paragraphs>34</Paragraphs>
  <TotalTime>0</TotalTime>
  <ScaleCrop>false</ScaleCrop>
  <LinksUpToDate>false</LinksUpToDate>
  <CharactersWithSpaces>17151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何婷婷</cp:lastModifiedBy>
  <cp:lastPrinted>2020-04-15T04:53:00Z</cp:lastPrinted>
  <dcterms:modified xsi:type="dcterms:W3CDTF">2022-06-14T03:01:08Z</dcterms:modified>
  <dc:title>“幸福99”双季添益银行理财计划风险揭示书</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