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w:t>
      </w:r>
      <w:r>
        <w:rPr>
          <w:rFonts w:hint="eastAsia" w:ascii="宋体" w:hAnsi="宋体" w:cs="宋体"/>
          <w:b/>
          <w:bCs/>
          <w:color w:val="000000"/>
          <w:kern w:val="0"/>
          <w:lang w:val="en-US" w:eastAsia="zh-CN"/>
        </w:rPr>
        <w:t>计划投资</w:t>
      </w:r>
      <w:r>
        <w:rPr>
          <w:rFonts w:hint="eastAsia" w:ascii="宋体" w:hAnsi="宋体" w:cs="宋体"/>
          <w:b/>
          <w:bCs/>
          <w:color w:val="000000"/>
          <w:kern w:val="0"/>
        </w:rPr>
        <w:t>协议书</w:t>
      </w:r>
      <w:r>
        <w:rPr>
          <w:rFonts w:hint="eastAsia" w:ascii="宋体" w:hAnsi="宋体" w:cs="宋体"/>
          <w:b/>
          <w:bCs/>
          <w:color w:val="000000"/>
          <w:kern w:val="0"/>
          <w:lang w:eastAsia="zh-CN"/>
        </w:rPr>
        <w:t>、</w:t>
      </w:r>
      <w:r>
        <w:rPr>
          <w:rFonts w:hint="eastAsia" w:ascii="宋体" w:hAnsi="宋体" w:cs="宋体"/>
          <w:b/>
          <w:bCs/>
          <w:color w:val="000000"/>
          <w:kern w:val="0"/>
          <w:lang w:val="en-US" w:eastAsia="zh-CN"/>
        </w:rPr>
        <w:t>理财计划销售协议书</w:t>
      </w:r>
      <w:r>
        <w:rPr>
          <w:rFonts w:hint="eastAsia" w:ascii="宋体" w:hAnsi="宋体" w:cs="宋体"/>
          <w:b/>
          <w:bCs/>
          <w:color w:val="000000"/>
          <w:kern w:val="0"/>
        </w:rPr>
        <w:t>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宋体" w:cs="宋体"/>
          <w:lang w:eastAsia="zh-CN"/>
        </w:rPr>
        <w:t>。</w:t>
      </w:r>
      <w:r>
        <w:rPr>
          <w:rFonts w:hint="eastAsia" w:ascii="宋体" w:hAnsi="宋体" w:eastAsia="宋体" w:cs="宋体"/>
          <w:b w:val="0"/>
          <w:i w:val="0"/>
          <w:caps w:val="0"/>
          <w:color w:val="333333"/>
          <w:spacing w:val="0"/>
          <w:sz w:val="21"/>
          <w:szCs w:val="21"/>
          <w:shd w:val="clear"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杭银理财理财计划投资协议书</w:t>
      </w:r>
      <w:r>
        <w:rPr>
          <w:rFonts w:hint="eastAsia" w:ascii="宋体" w:hAnsi="宋体"/>
          <w:b/>
          <w:bCs/>
          <w:color w:val="auto"/>
          <w:sz w:val="21"/>
          <w:szCs w:val="21"/>
          <w:lang w:eastAsia="zh-CN"/>
        </w:rPr>
        <w:t>》、《</w:t>
      </w:r>
      <w:r>
        <w:rPr>
          <w:rFonts w:hint="eastAsia" w:ascii="宋体" w:hAnsi="宋体"/>
          <w:b/>
          <w:bCs/>
          <w:color w:val="auto"/>
          <w:sz w:val="21"/>
          <w:szCs w:val="21"/>
        </w:rPr>
        <w:t>杭银理财理财计划销售协议书</w:t>
      </w:r>
      <w:r>
        <w:rPr>
          <w:rFonts w:hint="eastAsia" w:ascii="宋体" w:hAnsi="宋体"/>
          <w:b/>
          <w:bCs/>
          <w:color w:val="auto"/>
          <w:sz w:val="21"/>
          <w:szCs w:val="21"/>
          <w:lang w:eastAsia="zh-CN"/>
        </w:rPr>
        <w:t>》</w:t>
      </w:r>
      <w:r>
        <w:rPr>
          <w:rFonts w:hint="eastAsia" w:ascii="宋体" w:hAnsi="宋体"/>
          <w:b/>
          <w:bCs/>
          <w:color w:val="auto"/>
          <w:sz w:val="21"/>
          <w:szCs w:val="21"/>
        </w:rPr>
        <w:t>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w:t>
      </w:r>
      <w:r>
        <w:rPr>
          <w:rFonts w:hint="eastAsia" w:cs="宋体"/>
          <w:b/>
          <w:bCs/>
          <w:sz w:val="32"/>
          <w:szCs w:val="32"/>
          <w:lang w:val="en-US" w:eastAsia="zh-CN"/>
        </w:rPr>
        <w:t>2016</w:t>
      </w:r>
      <w:r>
        <w:rPr>
          <w:rFonts w:hint="eastAsia" w:cs="宋体"/>
          <w:b/>
          <w:bCs/>
          <w:sz w:val="32"/>
          <w:szCs w:val="32"/>
        </w:rPr>
        <w:t>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Z7002221000181</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w:t>
      </w:r>
      <w:r>
        <w:rPr>
          <w:rFonts w:hint="eastAsia" w:ascii="宋体" w:cs="宋体"/>
          <w:sz w:val="21"/>
          <w:szCs w:val="21"/>
          <w:lang w:val="en-US" w:eastAsia="zh-CN"/>
        </w:rPr>
        <w:t>杭银理财</w:t>
      </w:r>
      <w:r>
        <w:rPr>
          <w:rFonts w:hint="eastAsia" w:ascii="宋体" w:cs="宋体"/>
          <w:sz w:val="21"/>
          <w:szCs w:val="21"/>
        </w:rPr>
        <w:t>理财</w:t>
      </w:r>
      <w:r>
        <w:rPr>
          <w:rFonts w:hint="eastAsia" w:ascii="宋体" w:cs="宋体"/>
          <w:sz w:val="21"/>
          <w:szCs w:val="21"/>
          <w:lang w:val="en-US" w:eastAsia="zh-CN"/>
        </w:rPr>
        <w:t>计划投资</w:t>
      </w:r>
      <w:r>
        <w:rPr>
          <w:rFonts w:hint="eastAsia" w:ascii="宋体" w:cs="宋体"/>
          <w:sz w:val="21"/>
          <w:szCs w:val="21"/>
        </w:rPr>
        <w:t>协议书》、</w:t>
      </w:r>
      <w:r>
        <w:rPr>
          <w:rFonts w:hint="eastAsia" w:ascii="宋体" w:cs="宋体"/>
          <w:sz w:val="21"/>
          <w:szCs w:val="21"/>
          <w:lang w:eastAsia="zh-CN"/>
        </w:rPr>
        <w:t>《</w:t>
      </w:r>
      <w:r>
        <w:rPr>
          <w:rFonts w:hint="eastAsia" w:ascii="宋体" w:cs="宋体"/>
          <w:sz w:val="21"/>
          <w:szCs w:val="21"/>
          <w:lang w:val="en-US" w:eastAsia="zh-CN"/>
        </w:rPr>
        <w:t>杭银理财理财计划销售协议书</w:t>
      </w:r>
      <w:r>
        <w:rPr>
          <w:rFonts w:hint="eastAsia" w:ascii="宋体" w:cs="宋体"/>
          <w:sz w:val="21"/>
          <w:szCs w:val="21"/>
          <w:lang w:eastAsia="zh-CN"/>
        </w:rPr>
        <w:t>》、</w:t>
      </w:r>
      <w:r>
        <w:rPr>
          <w:rFonts w:hint="eastAsia" w:ascii="宋体" w:cs="宋体"/>
          <w:sz w:val="21"/>
          <w:szCs w:val="21"/>
        </w:rPr>
        <w:t>《杭银理财幸福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添益系列理财计划风险揭示书》、《投资者权益须知》，将共同构成投资者与管理人之间的理财计划交易合同。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产品/理财计划：指杭银理财幸福99半年添益</w:t>
      </w:r>
      <w:r>
        <w:rPr>
          <w:rFonts w:hint="eastAsia" w:ascii="宋体" w:hAnsi="宋体" w:cs="宋体"/>
          <w:sz w:val="21"/>
          <w:szCs w:val="21"/>
          <w:lang w:val="en-US" w:eastAsia="zh-CN"/>
        </w:rPr>
        <w:t>2016</w:t>
      </w:r>
      <w:r>
        <w:rPr>
          <w:rFonts w:hint="eastAsia" w:ascii="宋体" w:hAnsi="宋体" w:cs="宋体"/>
          <w:sz w:val="21"/>
          <w:szCs w:val="21"/>
        </w:rPr>
        <w:t>期理财计划。</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产品托管人：指杭州银行股份有限公司。</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w:t>
            </w:r>
            <w:r>
              <w:rPr>
                <w:rFonts w:hint="eastAsia" w:ascii="宋体" w:hAnsi="宋体" w:cs="宋体"/>
                <w:color w:val="000000"/>
                <w:kern w:val="0"/>
                <w:lang w:val="en-US" w:eastAsia="zh-CN"/>
              </w:rPr>
              <w:t>2016</w:t>
            </w:r>
            <w:r>
              <w:rPr>
                <w:rFonts w:hint="eastAsia" w:ascii="宋体" w:hAnsi="宋体" w:cs="宋体"/>
                <w:color w:val="000000"/>
                <w:kern w:val="0"/>
              </w:rPr>
              <w:t>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w:t>
            </w:r>
            <w:r>
              <w:rPr>
                <w:rFonts w:hint="eastAsia" w:ascii="宋体" w:hAnsi="宋体" w:cs="宋体"/>
                <w:color w:val="000000"/>
                <w:kern w:val="0"/>
                <w:lang w:val="en-US" w:eastAsia="zh-CN"/>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该产品在全国银行业理财信息登记系统的原登记编码是C1092020000577，</w:t>
            </w:r>
            <w:r>
              <w:rPr>
                <w:rFonts w:hint="eastAsia" w:ascii="宋体" w:hAnsi="宋体" w:cs="宋体"/>
              </w:rPr>
              <w:t>变更登记后为〖</w:t>
            </w:r>
            <w:r>
              <w:rPr>
                <w:rFonts w:ascii="宋体" w:hAnsi="宋体" w:cs="宋体"/>
              </w:rPr>
              <w:t>Z70022210001</w:t>
            </w:r>
            <w:r>
              <w:rPr>
                <w:rFonts w:hint="eastAsia" w:ascii="宋体" w:hAnsi="宋体" w:cs="宋体"/>
                <w:lang w:val="en-US" w:eastAsia="zh-CN"/>
              </w:rPr>
              <w:t>81</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2020年5月19日至2020年5月26日。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2020年5月27日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首次开放期为2020年11月18日至2020年11月24日，首个确认日为2020年11月25日。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w:t>
            </w:r>
            <w:r>
              <w:rPr>
                <w:rFonts w:hint="eastAsia" w:ascii="宋体" w:hAnsi="宋体" w:cs="宋体"/>
                <w:color w:val="000000"/>
                <w:kern w:val="0"/>
                <w:lang w:val="en-US" w:eastAsia="zh-CN"/>
              </w:rPr>
              <w:t>2</w:t>
            </w:r>
            <w:r>
              <w:rPr>
                <w:rFonts w:hint="eastAsia" w:ascii="宋体" w:hAnsi="宋体" w:cs="宋体"/>
                <w:color w:val="000000"/>
                <w:kern w:val="0"/>
              </w:rPr>
              <w:t>.</w:t>
            </w:r>
            <w:r>
              <w:rPr>
                <w:rFonts w:hint="eastAsia" w:ascii="宋体" w:hAnsi="宋体" w:cs="宋体"/>
                <w:color w:val="000000"/>
                <w:kern w:val="0"/>
                <w:lang w:val="en-US" w:eastAsia="zh-CN"/>
              </w:rPr>
              <w:t>35</w:t>
            </w:r>
            <w:r>
              <w:rPr>
                <w:rFonts w:hint="eastAsia" w:ascii="宋体" w:hAnsi="宋体" w:cs="宋体"/>
                <w:color w:val="000000"/>
                <w:kern w:val="0"/>
              </w:rPr>
              <w:t>%。</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hint="eastAsia"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p>
            <w:pPr>
              <w:rPr>
                <w:rFonts w:hint="eastAsia" w:ascii="宋体" w:hAnsi="宋体" w:cs="宋体"/>
                <w:color w:val="000000"/>
                <w:kern w:val="0"/>
              </w:rPr>
            </w:pPr>
            <w:r>
              <w:rPr>
                <w:rFonts w:hint="eastAsia" w:ascii="宋体" w:hAnsi="宋体" w:eastAsia="宋体" w:cs="宋体"/>
                <w:b w:val="0"/>
                <w:i w:val="0"/>
                <w:caps w:val="0"/>
                <w:color w:val="333333"/>
                <w:spacing w:val="0"/>
                <w:sz w:val="21"/>
                <w:szCs w:val="21"/>
                <w:shd w:val="clear" w:fill="FFFFFF"/>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w:t>
            </w:r>
            <w:r>
              <w:rPr>
                <w:rFonts w:hint="eastAsia" w:ascii="宋体" w:hAnsi="宋体" w:cs="宋体"/>
                <w:color w:val="000000"/>
                <w:kern w:val="0"/>
                <w:lang w:val="en-US" w:eastAsia="zh-CN"/>
              </w:rPr>
              <w:t>前一日</w:t>
            </w:r>
            <w:r>
              <w:rPr>
                <w:rFonts w:hint="eastAsia" w:ascii="宋体" w:hAnsi="宋体" w:cs="宋体"/>
                <w:color w:val="000000"/>
                <w:kern w:val="0"/>
              </w:rPr>
              <w:t>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w:t>
            </w:r>
            <w:r>
              <w:rPr>
                <w:rFonts w:hint="eastAsia" w:ascii="宋体" w:hAnsi="宋体" w:cs="宋体"/>
                <w:color w:val="000000"/>
                <w:kern w:val="0"/>
                <w:lang w:eastAsia="zh-CN"/>
              </w:rPr>
              <w:t>销售服务费</w:t>
            </w:r>
            <w:r>
              <w:rPr>
                <w:rFonts w:hint="eastAsia" w:ascii="宋体" w:hAnsi="宋体" w:cs="宋体"/>
                <w:color w:val="000000"/>
                <w:kern w:val="0"/>
              </w:rPr>
              <w:t>。收取年化0</w:t>
            </w:r>
            <w:r>
              <w:rPr>
                <w:rFonts w:hint="eastAsia" w:ascii="宋体" w:hAnsi="宋体" w:cs="宋体"/>
                <w:color w:val="000000"/>
                <w:kern w:val="0"/>
                <w:lang w:val="en-US" w:eastAsia="zh-CN"/>
              </w:rPr>
              <w:t>.2</w:t>
            </w:r>
            <w:r>
              <w:rPr>
                <w:rFonts w:ascii="宋体" w:hAnsi="宋体" w:cs="宋体"/>
                <w:color w:val="000000"/>
                <w:kern w:val="0"/>
              </w:rPr>
              <w:t>%</w:t>
            </w:r>
            <w:r>
              <w:rPr>
                <w:rFonts w:hint="eastAsia" w:ascii="宋体" w:hAnsi="宋体" w:cs="宋体"/>
                <w:color w:val="000000"/>
                <w:kern w:val="0"/>
              </w:rPr>
              <w:t>的</w:t>
            </w:r>
            <w:r>
              <w:rPr>
                <w:rFonts w:hint="eastAsia" w:ascii="宋体" w:hAnsi="宋体" w:cs="宋体"/>
                <w:color w:val="000000"/>
                <w:kern w:val="0"/>
                <w:lang w:eastAsia="zh-CN"/>
              </w:rPr>
              <w:t>销售服务费</w:t>
            </w:r>
            <w:r>
              <w:rPr>
                <w:rFonts w:hint="eastAsia" w:ascii="宋体" w:hAnsi="宋体" w:cs="宋体"/>
                <w:color w:val="000000"/>
                <w:kern w:val="0"/>
              </w:rPr>
              <w:t>，每日计提。</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w:t>
            </w:r>
          </w:p>
          <w:p>
            <w:pPr>
              <w:rPr>
                <w:rFonts w:ascii="宋体" w:hAnsi="宋体" w:cs="宋体"/>
                <w:color w:val="000000"/>
                <w:kern w:val="0"/>
              </w:rPr>
            </w:pPr>
            <w:r>
              <w:rPr>
                <w:rFonts w:hint="eastAsia" w:ascii="宋体" w:hAnsi="宋体" w:cs="宋体"/>
                <w:color w:val="000000"/>
                <w:kern w:val="0"/>
              </w:rPr>
              <w:t>3．固定管理费。收取年化0.</w:t>
            </w:r>
            <w:r>
              <w:rPr>
                <w:rFonts w:hint="eastAsia" w:ascii="宋体" w:hAnsi="宋体" w:cs="宋体"/>
                <w:color w:val="000000"/>
                <w:kern w:val="0"/>
                <w:lang w:val="en-US" w:eastAsia="zh-CN"/>
              </w:rPr>
              <w:t>3</w:t>
            </w:r>
            <w:r>
              <w:rPr>
                <w:rFonts w:ascii="宋体" w:hAnsi="宋体" w:cs="宋体"/>
                <w:color w:val="000000"/>
                <w:kern w:val="0"/>
              </w:rPr>
              <w:t>%</w:t>
            </w:r>
            <w:r>
              <w:rPr>
                <w:rFonts w:hint="eastAsia" w:ascii="宋体" w:hAnsi="宋体" w:cs="宋体"/>
                <w:color w:val="000000"/>
                <w:kern w:val="0"/>
              </w:rPr>
              <w:t>的固定管理费，每日计提。</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w:t>
            </w:r>
            <w:r>
              <w:rPr>
                <w:rFonts w:hint="eastAsia" w:ascii="宋体" w:hAnsi="宋体" w:cs="宋体"/>
                <w:color w:val="000000"/>
                <w:kern w:val="0"/>
                <w:lang w:val="en-US" w:eastAsia="zh-CN"/>
              </w:rPr>
              <w:t>上限</w:t>
            </w:r>
            <w:r>
              <w:rPr>
                <w:rFonts w:hint="eastAsia" w:ascii="宋体" w:hAnsi="宋体" w:cs="宋体"/>
                <w:color w:val="000000"/>
                <w:kern w:val="0"/>
              </w:rPr>
              <w:t>的部分,管理人提取</w:t>
            </w:r>
            <w:r>
              <w:rPr>
                <w:rFonts w:hint="eastAsia" w:ascii="宋体" w:hAnsi="宋体" w:cs="宋体"/>
                <w:color w:val="000000"/>
                <w:kern w:val="0"/>
                <w:lang w:val="en-US" w:eastAsia="zh-CN"/>
              </w:rPr>
              <w:t>5</w:t>
            </w:r>
            <w:r>
              <w:rPr>
                <w:rFonts w:hint="eastAsia" w:ascii="宋体" w:hAnsi="宋体" w:cs="宋体"/>
                <w:color w:val="000000"/>
                <w:kern w:val="0"/>
              </w:rPr>
              <w:t>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w:t>
      </w:r>
      <w:r>
        <w:rPr>
          <w:rFonts w:hint="eastAsia" w:ascii="宋体" w:hAnsi="宋体"/>
          <w:color w:val="000000"/>
          <w:lang w:eastAsia="zh-CN"/>
        </w:rPr>
        <w:t>销售服务费</w:t>
      </w:r>
      <w:r>
        <w:rPr>
          <w:rFonts w:hint="eastAsia" w:ascii="宋体" w:hAnsi="宋体"/>
          <w:color w:val="000000"/>
        </w:rPr>
        <w:t>率为0</w:t>
      </w:r>
      <w:r>
        <w:rPr>
          <w:rFonts w:hint="eastAsia" w:ascii="宋体" w:hAnsi="宋体"/>
          <w:color w:val="000000"/>
          <w:lang w:val="en-US" w:eastAsia="zh-CN"/>
        </w:rPr>
        <w:t>.2</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.2</w:t>
      </w:r>
      <w:r>
        <w:rPr>
          <w:rFonts w:hint="eastAsia" w:ascii="宋体" w:hAnsi="宋体"/>
          <w:color w:val="000000"/>
        </w:rPr>
        <w:t>％/365</w:t>
      </w:r>
    </w:p>
    <w:p>
      <w:pPr>
        <w:widowControl/>
        <w:spacing w:line="300" w:lineRule="auto"/>
        <w:contextualSpacing/>
        <w:outlineLvl w:val="0"/>
        <w:rPr>
          <w:rFonts w:hint="eastAsia" w:ascii="宋体" w:hAnsi="宋体" w:eastAsia="宋体"/>
          <w:color w:val="000000"/>
          <w:lang w:eastAsia="zh-CN"/>
        </w:rPr>
      </w:pPr>
      <w:r>
        <w:rPr>
          <w:rFonts w:hint="eastAsia" w:ascii="宋体" w:hAnsi="宋体"/>
          <w:color w:val="000000"/>
        </w:rPr>
        <w:t xml:space="preserve">    H为每日应计提的</w:t>
      </w:r>
      <w:r>
        <w:rPr>
          <w:rFonts w:hint="eastAsia" w:ascii="宋体" w:hAnsi="宋体"/>
          <w:color w:val="000000"/>
          <w:lang w:eastAsia="zh-CN"/>
        </w:rPr>
        <w:t>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lang w:eastAsia="zh-CN"/>
        </w:rPr>
        <w:t>销售服务费</w:t>
      </w:r>
      <w:r>
        <w:rPr>
          <w:rFonts w:hint="eastAsia" w:ascii="宋体" w:hAnsi="宋体"/>
          <w:color w:val="000000"/>
        </w:rPr>
        <w:t>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w:t>
      </w:r>
      <w:r>
        <w:rPr>
          <w:rFonts w:hint="eastAsia" w:ascii="宋体" w:hAnsi="宋体"/>
          <w:color w:val="000000"/>
          <w:lang w:val="en-US" w:eastAsia="zh-CN"/>
        </w:rPr>
        <w:t>3</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w:t>
      </w:r>
      <w:r>
        <w:rPr>
          <w:rFonts w:hint="eastAsia" w:ascii="宋体" w:hAnsi="宋体"/>
          <w:color w:val="000000"/>
          <w:lang w:val="en-US" w:eastAsia="zh-CN"/>
        </w:rPr>
        <w:t>3</w:t>
      </w:r>
      <w:r>
        <w:rPr>
          <w:rFonts w:hint="eastAsia" w:ascii="宋体" w:hAnsi="宋体"/>
          <w:color w:val="000000"/>
        </w:rPr>
        <w:t>％/365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w:t>
      </w:r>
      <w:r>
        <w:rPr>
          <w:rFonts w:hint="eastAsia" w:ascii="宋体" w:hAnsi="宋体"/>
          <w:color w:val="000000"/>
          <w:lang w:val="en-US" w:eastAsia="zh-CN"/>
        </w:rPr>
        <w:t>固定</w:t>
      </w:r>
      <w:r>
        <w:rPr>
          <w:rFonts w:hint="eastAsia" w:ascii="宋体" w:hAnsi="宋体"/>
          <w:color w:val="000000"/>
        </w:rPr>
        <w:t>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w:t>
      </w:r>
      <w:r>
        <w:rPr>
          <w:rFonts w:hint="eastAsia" w:ascii="宋体" w:hAnsi="宋体"/>
          <w:color w:val="000000"/>
          <w:lang w:val="en-US" w:eastAsia="zh-CN"/>
        </w:rPr>
        <w:t>上限</w:t>
      </w:r>
      <w:r>
        <w:rPr>
          <w:rFonts w:hint="eastAsia" w:ascii="宋体" w:hAnsi="宋体"/>
          <w:color w:val="000000"/>
        </w:rPr>
        <w:t>的部分管理人提取</w:t>
      </w:r>
      <w:r>
        <w:rPr>
          <w:rFonts w:hint="eastAsia" w:ascii="宋体" w:hAnsi="宋体"/>
          <w:color w:val="000000"/>
          <w:lang w:val="en-US" w:eastAsia="zh-CN"/>
        </w:rPr>
        <w:t>5</w:t>
      </w:r>
      <w:r>
        <w:rPr>
          <w:rFonts w:ascii="宋体" w:hAnsi="宋体"/>
          <w:color w:val="000000"/>
        </w:rPr>
        <w:t>0%作为浮动管理费，每个开放期结束后收取；本理财产品投资周期年化收益率若小于或等于业绩比较基准</w:t>
      </w:r>
      <w:r>
        <w:rPr>
          <w:rFonts w:hint="eastAsia" w:ascii="宋体" w:hAnsi="宋体"/>
          <w:color w:val="000000"/>
          <w:lang w:val="en-US" w:eastAsia="zh-CN"/>
        </w:rPr>
        <w:t>上限</w:t>
      </w:r>
      <w:r>
        <w:rPr>
          <w:rFonts w:ascii="宋体" w:hAnsi="宋体"/>
          <w:color w:val="000000"/>
        </w:rPr>
        <w:t>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lang w:val="en-US" w:eastAsia="zh-CN"/>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hint="eastAsia" w:ascii="宋体" w:hAnsi="宋体" w:eastAsia="宋体"/>
          <w:color w:val="000000"/>
          <w:lang w:val="en-US" w:eastAsia="zh-CN"/>
        </w:rPr>
      </w:pPr>
      <w:r>
        <w:rPr>
          <w:rFonts w:ascii="宋体" w:hAnsi="宋体"/>
          <w:color w:val="000000"/>
        </w:rPr>
        <w:t>R为当前投资周期适用的业绩比较基准</w:t>
      </w:r>
      <w:r>
        <w:rPr>
          <w:rFonts w:hint="eastAsia" w:ascii="宋体" w:hAnsi="宋体"/>
          <w:color w:val="000000"/>
          <w:lang w:val="en-US" w:eastAsia="zh-CN"/>
        </w:rPr>
        <w:t>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示例一：扣除托管费、固定管理费和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后，投资收益率超越业绩比较基准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w:t>
      </w:r>
      <w:r>
        <w:rPr>
          <w:rFonts w:hint="eastAsia" w:ascii="宋体" w:hAnsi="宋体"/>
          <w:lang w:val="en-US" w:eastAsia="zh-CN"/>
        </w:rPr>
        <w:t>上限</w:t>
      </w:r>
      <w:r>
        <w:rPr>
          <w:rFonts w:hint="eastAsia" w:ascii="宋体" w:hAnsi="宋体"/>
        </w:rPr>
        <w:t>部分的80%作为浮动管理费，产品业绩比较基准</w:t>
      </w:r>
      <w:r>
        <w:rPr>
          <w:rFonts w:hint="eastAsia" w:ascii="宋体" w:hAnsi="宋体"/>
          <w:lang w:val="en-US" w:eastAsia="zh-CN"/>
        </w:rPr>
        <w:t>上限</w:t>
      </w:r>
      <w:r>
        <w:rPr>
          <w:rFonts w:hint="eastAsia" w:ascii="宋体" w:hAnsi="宋体"/>
        </w:rPr>
        <w:t>为5.60%，期间无分红。赎回时扣除增值税、托管费、</w:t>
      </w:r>
      <w:r>
        <w:rPr>
          <w:rFonts w:hint="eastAsia" w:ascii="宋体" w:hAnsi="宋体"/>
          <w:lang w:eastAsia="zh-CN"/>
        </w:rPr>
        <w:t>销售服务费</w:t>
      </w:r>
      <w:r>
        <w:rPr>
          <w:rFonts w:hint="eastAsia" w:ascii="宋体" w:hAnsi="宋体"/>
        </w:rPr>
        <w:t>、固定管理费后，如产品净值为1.0615，此时，(1.0615/1.00-1)×365/362=6.20%&gt;5.60%，即投资收益超越业绩比较基准</w:t>
      </w:r>
      <w:r>
        <w:rPr>
          <w:rFonts w:hint="eastAsia" w:ascii="宋体" w:hAnsi="宋体"/>
          <w:lang w:val="en-US" w:eastAsia="zh-CN"/>
        </w:rPr>
        <w:t>上限</w:t>
      </w:r>
      <w:r>
        <w:rPr>
          <w:rFonts w:hint="eastAsia" w:ascii="宋体" w:hAnsi="宋体"/>
        </w:rPr>
        <w:t>，则投资管理人对超过业绩比较基准</w:t>
      </w:r>
      <w:r>
        <w:rPr>
          <w:rFonts w:hint="eastAsia" w:ascii="宋体" w:hAnsi="宋体"/>
          <w:lang w:val="en-US" w:eastAsia="zh-CN"/>
        </w:rPr>
        <w:t>上限</w:t>
      </w:r>
      <w:r>
        <w:rPr>
          <w:rFonts w:hint="eastAsia" w:ascii="宋体" w:hAnsi="宋体"/>
        </w:rPr>
        <w:t>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hint="eastAsia" w:ascii="宋体" w:eastAsia="宋体" w:cs="Times New Roman"/>
          <w:b/>
          <w:bCs/>
          <w:kern w:val="0"/>
          <w:lang w:val="en-US" w:eastAsia="zh-CN"/>
        </w:rPr>
      </w:pPr>
      <w:r>
        <w:rPr>
          <w:rFonts w:hint="eastAsia" w:ascii="宋体" w:hAnsi="宋体" w:cs="宋体"/>
          <w:b/>
          <w:bCs/>
          <w:kern w:val="0"/>
        </w:rPr>
        <w:t>示例二：扣除托管费、固定管理费和</w:t>
      </w:r>
      <w:r>
        <w:rPr>
          <w:rFonts w:hint="eastAsia" w:ascii="宋体" w:hAnsi="宋体" w:cs="宋体"/>
          <w:b/>
          <w:bCs/>
          <w:kern w:val="0"/>
          <w:lang w:eastAsia="zh-CN"/>
        </w:rPr>
        <w:t>销售服务费</w:t>
      </w:r>
      <w:r>
        <w:rPr>
          <w:rFonts w:hint="eastAsia" w:ascii="宋体" w:hAnsi="宋体" w:cs="宋体"/>
          <w:b/>
          <w:bCs/>
          <w:kern w:val="0"/>
        </w:rPr>
        <w:t>后，投资收益率未达到业绩比较基准</w:t>
      </w:r>
      <w:r>
        <w:rPr>
          <w:rFonts w:hint="eastAsia" w:ascii="宋体" w:hAnsi="宋体" w:cs="宋体"/>
          <w:b/>
          <w:bCs/>
          <w:kern w:val="0"/>
          <w:lang w:val="en-US" w:eastAsia="zh-CN"/>
        </w:rPr>
        <w:t>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上限部分</w:t>
      </w:r>
      <w:r>
        <w:rPr>
          <w:rFonts w:hint="eastAsia" w:ascii="宋体" w:hAnsi="宋体"/>
        </w:rPr>
        <w:t>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w:t>
      </w:r>
      <w:r>
        <w:rPr>
          <w:rFonts w:hint="eastAsia" w:ascii="宋体" w:hAnsi="宋体"/>
          <w:lang w:val="en-US" w:eastAsia="zh-CN"/>
        </w:rPr>
        <w:t>上限</w:t>
      </w:r>
      <w:r>
        <w:rPr>
          <w:rFonts w:hint="eastAsia" w:ascii="宋体" w:hAnsi="宋体"/>
        </w:rPr>
        <w:t>，则投资管理人不收取浮动管理费，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w:t>
      </w:r>
      <w:r>
        <w:rPr>
          <w:rFonts w:hint="eastAsia" w:ascii="宋体" w:hAnsi="宋体" w:cs="宋体"/>
          <w:b/>
          <w:bCs/>
          <w:kern w:val="0"/>
          <w:lang w:eastAsia="zh-CN"/>
        </w:rPr>
        <w:t>销售服务费</w:t>
      </w:r>
      <w:r>
        <w:rPr>
          <w:rFonts w:hint="eastAsia" w:ascii="宋体" w:hAnsi="宋体" w:cs="宋体"/>
          <w:b/>
          <w:bCs/>
          <w:kern w:val="0"/>
        </w:rPr>
        <w:t>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w:t>
      </w:r>
      <w:r>
        <w:rPr>
          <w:rFonts w:hint="eastAsia" w:ascii="宋体" w:hAnsi="宋体"/>
          <w:lang w:val="en-US" w:eastAsia="zh-CN"/>
        </w:rPr>
        <w:t>上限</w:t>
      </w:r>
      <w:r>
        <w:rPr>
          <w:rFonts w:hint="eastAsia" w:ascii="宋体" w:hAnsi="宋体"/>
        </w:rPr>
        <w:t>部分的80%作为浮动管理费，</w:t>
      </w:r>
      <w:r>
        <w:rPr>
          <w:rFonts w:hint="eastAsia" w:ascii="宋体" w:hAnsi="宋体" w:cs="宋体"/>
          <w:kern w:val="0"/>
        </w:rPr>
        <w:t>产品业绩比较基准</w:t>
      </w:r>
      <w:r>
        <w:rPr>
          <w:rFonts w:hint="eastAsia" w:ascii="宋体" w:hAnsi="宋体" w:cs="宋体"/>
          <w:kern w:val="0"/>
          <w:lang w:val="en-US" w:eastAsia="zh-CN"/>
        </w:rPr>
        <w:t>上限</w:t>
      </w:r>
      <w:r>
        <w:rPr>
          <w:rFonts w:hint="eastAsia" w:ascii="宋体" w:hAnsi="宋体" w:cs="宋体"/>
          <w:kern w:val="0"/>
        </w:rPr>
        <w:t>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w:t>
      </w:r>
      <w:r>
        <w:rPr>
          <w:rFonts w:hint="eastAsia" w:ascii="宋体" w:hAnsi="宋体" w:cs="宋体"/>
          <w:kern w:val="0"/>
          <w:lang w:eastAsia="zh-CN"/>
        </w:rPr>
        <w:t>销售服务费</w:t>
      </w:r>
      <w:r>
        <w:rPr>
          <w:rFonts w:hint="eastAsia" w:ascii="宋体" w:hAnsi="宋体" w:cs="宋体"/>
          <w:kern w:val="0"/>
        </w:rPr>
        <w:t>、固定管理费等各类税费后，如产品净值为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（三）交易确认和到账时间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pStyle w:val="8"/>
        <w:numPr>
          <w:ilvl w:val="-1"/>
          <w:numId w:val="0"/>
        </w:numPr>
        <w:spacing w:before="0" w:after="0" w:line="520" w:lineRule="exact"/>
        <w:ind w:left="0" w:firstLine="0" w:firstLineChars="0"/>
        <w:jc w:val="both"/>
        <w:rPr>
          <w:rFonts w:hint="eastAsia" w:cs="宋体"/>
          <w:sz w:val="28"/>
          <w:szCs w:val="28"/>
        </w:rPr>
      </w:pPr>
      <w:r>
        <w:rPr>
          <w:rFonts w:hint="eastAsia" w:cs="宋体"/>
          <w:sz w:val="28"/>
          <w:szCs w:val="28"/>
          <w:lang w:val="en-US" w:eastAsia="zh-CN"/>
        </w:rPr>
        <w:t>十一、</w:t>
      </w:r>
      <w:r>
        <w:rPr>
          <w:rFonts w:hint="eastAsia" w:cs="宋体"/>
          <w:sz w:val="28"/>
          <w:szCs w:val="28"/>
        </w:rPr>
        <w:t>合作机构</w:t>
      </w:r>
    </w:p>
    <w:p>
      <w:pPr>
        <w:numPr>
          <w:ilvl w:val="0"/>
          <w:numId w:val="16"/>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13"/>
        <w:tblW w:w="901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617" w:type="dxa"/>
            <w:noWrap w:val="0"/>
            <w:vAlign w:val="top"/>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96" w:type="dxa"/>
            <w:noWrap w:val="0"/>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617" w:type="dxa"/>
            <w:noWrap w:val="0"/>
            <w:vAlign w:val="center"/>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销售机构</w:t>
      </w:r>
    </w:p>
    <w:tbl>
      <w:tblPr>
        <w:tblStyle w:val="13"/>
        <w:tblW w:w="9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688"/>
        <w:gridCol w:w="1325"/>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restart"/>
            <w:noWrap w:val="0"/>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销售机构</w:t>
            </w:r>
            <w:r>
              <w:rPr>
                <w:rFonts w:hint="eastAsia" w:ascii="宋体" w:hAnsi="宋体" w:cs="宋体"/>
                <w:color w:val="000000"/>
                <w:kern w:val="0"/>
                <w:szCs w:val="21"/>
                <w:lang w:val="en-US" w:eastAsia="zh-CN"/>
              </w:rPr>
              <w:t>信息</w:t>
            </w:r>
          </w:p>
        </w:tc>
        <w:tc>
          <w:tcPr>
            <w:tcW w:w="1688" w:type="dxa"/>
            <w:vMerge w:val="restart"/>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杭州银行股份有限公司</w:t>
            </w: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住所</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continue"/>
            <w:noWrap w:val="0"/>
            <w:vAlign w:val="center"/>
          </w:tcPr>
          <w:p>
            <w:pPr>
              <w:widowControl/>
              <w:jc w:val="left"/>
              <w:rPr>
                <w:rFonts w:hint="eastAsia" w:ascii="宋体" w:hAnsi="宋体" w:eastAsia="宋体" w:cs="宋体"/>
                <w:i w:val="0"/>
                <w:color w:val="000000"/>
                <w:kern w:val="0"/>
                <w:sz w:val="21"/>
                <w:szCs w:val="21"/>
                <w:u w:val="none"/>
                <w:lang w:val="en-US" w:eastAsia="zh-CN" w:bidi="ar"/>
              </w:rPr>
            </w:pPr>
          </w:p>
        </w:tc>
        <w:tc>
          <w:tcPr>
            <w:tcW w:w="1325"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客服热线</w:t>
            </w:r>
          </w:p>
        </w:tc>
        <w:tc>
          <w:tcPr>
            <w:tcW w:w="4600" w:type="dxa"/>
            <w:noWrap w:val="0"/>
            <w:vAlign w:val="center"/>
          </w:tcPr>
          <w:p>
            <w:pPr>
              <w:widowControl/>
              <w:jc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 w:val="21"/>
                <w:szCs w:val="21"/>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兴业银行股份有限公司</w:t>
            </w: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上海市浦东新区银城路 167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 w:val="21"/>
                <w:szCs w:val="21"/>
              </w:rPr>
            </w:pPr>
          </w:p>
        </w:tc>
        <w:tc>
          <w:tcPr>
            <w:tcW w:w="1688" w:type="dxa"/>
            <w:vMerge w:val="continue"/>
            <w:noWrap w:val="0"/>
            <w:vAlign w:val="center"/>
          </w:tcPr>
          <w:p>
            <w:pPr>
              <w:jc w:val="center"/>
              <w:rPr>
                <w:rFonts w:hint="eastAsia" w:ascii="宋体" w:hAnsi="宋体" w:eastAsia="宋体" w:cs="宋体"/>
                <w:color w:val="000000"/>
                <w:kern w:val="0"/>
                <w:sz w:val="21"/>
                <w:szCs w:val="21"/>
                <w:highlight w:val="none"/>
              </w:rPr>
            </w:pPr>
          </w:p>
        </w:tc>
        <w:tc>
          <w:tcPr>
            <w:tcW w:w="1325"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客服热线</w:t>
            </w:r>
          </w:p>
        </w:tc>
        <w:tc>
          <w:tcPr>
            <w:tcW w:w="4600" w:type="dxa"/>
            <w:noWrap w:val="0"/>
            <w:vAlign w:val="center"/>
          </w:tcPr>
          <w:p>
            <w:pPr>
              <w:keepNext w:val="0"/>
              <w:keepLines w:val="0"/>
              <w:widowControl/>
              <w:suppressLineNumbers w:val="0"/>
              <w:jc w:val="center"/>
              <w:textAlignment w:val="bottom"/>
              <w:rPr>
                <w:rFonts w:ascii="宋体" w:hAnsi="宋体" w:cs="宋体"/>
                <w:color w:val="000000"/>
                <w:kern w:val="0"/>
                <w:sz w:val="21"/>
                <w:szCs w:val="21"/>
                <w:highlight w:val="none"/>
              </w:rPr>
            </w:pPr>
            <w:r>
              <w:rPr>
                <w:rFonts w:hint="eastAsia" w:ascii="宋体" w:hAnsi="宋体" w:eastAsia="宋体" w:cs="宋体"/>
                <w:i w:val="0"/>
                <w:color w:val="000000"/>
                <w:kern w:val="0"/>
                <w:sz w:val="21"/>
                <w:szCs w:val="21"/>
                <w:u w:val="none"/>
                <w:lang w:val="en-US" w:eastAsia="zh-CN" w:bidi="ar"/>
              </w:rPr>
              <w:t>95561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noWrap w:val="0"/>
            <w:vAlign w:val="center"/>
          </w:tcPr>
          <w:p>
            <w:pPr>
              <w:widowControl/>
              <w:jc w:val="center"/>
              <w:rPr>
                <w:rFonts w:ascii="宋体" w:hAnsi="宋体" w:cs="宋体"/>
                <w:color w:val="000000"/>
                <w:kern w:val="0"/>
                <w:szCs w:val="21"/>
              </w:rPr>
            </w:pPr>
          </w:p>
        </w:tc>
        <w:tc>
          <w:tcPr>
            <w:tcW w:w="1688" w:type="dxa"/>
            <w:vMerge w:val="restart"/>
            <w:noWrap w:val="0"/>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江苏银行股份有限公司</w:t>
            </w:r>
          </w:p>
        </w:tc>
        <w:tc>
          <w:tcPr>
            <w:tcW w:w="1325"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noWrap w:val="0"/>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江苏省南京市中华路26号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厦门市思明区湖滨北路101号商业银行大厦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400-858-8888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厦门国际银行股份有限公司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厦门市思明区鹭江道8-10号国际银行大厦1-6层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400-1623-623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富邦华一银行有限公司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中国(上海)自由贸易试验区世纪大道1168号A座101室、18楼、19楼及20楼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8621—962811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宁波鄞州农村商业银行股份有限公司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浙江省宁波市鄞州区民惠西路88号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956058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深圳前海微众银行股份有限公司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广东省深圳市南山区沙河西路1819号深圳湾科技生态园7栋A座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吉林亿联银行股份有限公司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吉林省长春市南关区人民大街10606号东北亚国际金融中心一期北楼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4000-156-999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重庆富民银行股份有限公司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重庆市渝北区财富东路2号涉外商务区一期B1栋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4008－108－999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中信百信银行股份有限公司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北京市朝阳区安定路5号院3号楼8层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400-818-0100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江苏苏宁银行股份有限公司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南京市建邺区庐山路248号4号楼7、8、9、27、28、29层，4号楼裙楼第1、2层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95177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石嘴山银行股份有限公司</w:t>
            </w: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宁夏回族自治区石嘴山市大武口区朝阳西街39号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bottom"/>
              <w:rPr>
                <w:rFonts w:hint="eastAsia" w:ascii="宋体" w:hAnsi="宋体" w:cs="宋体"/>
              </w:rPr>
            </w:pPr>
            <w:r>
              <w:rPr>
                <w:rFonts w:hint="eastAsia" w:ascii="宋体" w:hAnsi="宋体" w:eastAsia="宋体" w:cs="宋体"/>
                <w:i w:val="0"/>
                <w:color w:val="000000"/>
                <w:kern w:val="0"/>
                <w:sz w:val="21"/>
                <w:szCs w:val="21"/>
                <w:u w:val="none"/>
                <w:lang w:val="en-US" w:eastAsia="zh-CN" w:bidi="ar"/>
              </w:rPr>
              <w:t>0951-96789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中信银行股份有限公司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restart"/>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color w:val="000000"/>
                <w:kern w:val="0"/>
                <w:sz w:val="21"/>
                <w:szCs w:val="21"/>
                <w:u w:val="none"/>
                <w:lang w:val="en-US" w:eastAsia="zh-CN" w:bidi="ar"/>
              </w:rPr>
              <w:t>齐鲁银行股份有限公司</w:t>
            </w: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住所</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山东省济南市历下区经十路10817号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Merge w:val="continue"/>
            <w:vAlign w:val="center"/>
          </w:tcPr>
          <w:p>
            <w:pPr>
              <w:widowControl/>
              <w:jc w:val="center"/>
              <w:rPr>
                <w:rFonts w:ascii="宋体" w:hAnsi="宋体" w:cs="宋体"/>
                <w:color w:val="000000"/>
                <w:kern w:val="0"/>
                <w:szCs w:val="21"/>
              </w:rPr>
            </w:pPr>
          </w:p>
        </w:tc>
        <w:tc>
          <w:tcPr>
            <w:tcW w:w="1688" w:type="dxa"/>
            <w:vMerge w:val="continue"/>
            <w:vAlign w:val="center"/>
          </w:tcPr>
          <w:p>
            <w:pPr>
              <w:jc w:val="center"/>
              <w:rPr>
                <w:rFonts w:hint="eastAsia" w:ascii="宋体" w:hAnsi="宋体" w:eastAsia="宋体" w:cs="宋体"/>
                <w:color w:val="000000"/>
                <w:kern w:val="0"/>
                <w:sz w:val="21"/>
                <w:szCs w:val="21"/>
              </w:rPr>
            </w:pPr>
          </w:p>
        </w:tc>
        <w:tc>
          <w:tcPr>
            <w:tcW w:w="1325"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客服热线</w:t>
            </w:r>
          </w:p>
        </w:tc>
        <w:tc>
          <w:tcPr>
            <w:tcW w:w="4600" w:type="dxa"/>
            <w:vAlign w:val="center"/>
          </w:tcPr>
          <w:p>
            <w:pPr>
              <w:keepNext w:val="0"/>
              <w:keepLines w:val="0"/>
              <w:widowControl/>
              <w:suppressLineNumbers w:val="0"/>
              <w:jc w:val="center"/>
              <w:textAlignment w:val="center"/>
              <w:rPr>
                <w:rFonts w:hint="eastAsia" w:ascii="宋体" w:hAnsi="宋体" w:cs="宋体"/>
              </w:rPr>
            </w:pPr>
            <w:r>
              <w:rPr>
                <w:rFonts w:hint="eastAsia" w:ascii="宋体" w:hAnsi="宋体" w:eastAsia="宋体" w:cs="宋体"/>
                <w:i w:val="0"/>
                <w:color w:val="000000"/>
                <w:kern w:val="0"/>
                <w:sz w:val="21"/>
                <w:szCs w:val="21"/>
                <w:u w:val="none"/>
                <w:lang w:val="en-US" w:eastAsia="zh-CN" w:bidi="ar"/>
              </w:rPr>
              <w:t>400-609-6588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12" w:type="dxa"/>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销售机构职责</w:t>
            </w:r>
          </w:p>
        </w:tc>
        <w:tc>
          <w:tcPr>
            <w:tcW w:w="7613" w:type="dxa"/>
            <w:gridSpan w:val="3"/>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numPr>
          <w:ilvl w:val="-1"/>
          <w:numId w:val="0"/>
        </w:numPr>
        <w:spacing w:line="520" w:lineRule="exact"/>
        <w:ind w:firstLine="0"/>
        <w:rPr>
          <w:rFonts w:ascii="Cambria" w:hAnsi="Cambria" w:cs="宋体"/>
          <w:b/>
          <w:bCs/>
          <w:kern w:val="28"/>
          <w:sz w:val="28"/>
          <w:szCs w:val="28"/>
        </w:rPr>
      </w:pPr>
      <w:r>
        <w:rPr>
          <w:rFonts w:hint="eastAsia" w:ascii="Cambria" w:hAnsi="Cambria" w:cs="宋体"/>
          <w:b/>
          <w:bCs/>
          <w:kern w:val="28"/>
          <w:sz w:val="28"/>
          <w:szCs w:val="28"/>
          <w:lang w:val="en-US" w:eastAsia="zh-CN"/>
        </w:rPr>
        <w:t>十二、</w:t>
      </w: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w:t>
      </w:r>
      <w:r>
        <w:rPr>
          <w:rFonts w:hint="eastAsia" w:ascii="宋体" w:hAnsi="Wingdings" w:cs="宋体"/>
          <w:color w:val="000000"/>
          <w:kern w:val="0"/>
          <w:lang w:val="en-US" w:eastAsia="zh-CN"/>
        </w:rPr>
        <w:t>杭银理财</w:t>
      </w:r>
      <w:r>
        <w:rPr>
          <w:rFonts w:hint="eastAsia" w:ascii="宋体" w:hAnsi="Wingdings" w:cs="宋体"/>
          <w:color w:val="000000"/>
          <w:kern w:val="0"/>
        </w:rPr>
        <w:t>理财</w:t>
      </w:r>
      <w:r>
        <w:rPr>
          <w:rFonts w:hint="eastAsia" w:ascii="宋体" w:hAnsi="Wingdings" w:cs="宋体"/>
          <w:color w:val="000000"/>
          <w:kern w:val="0"/>
          <w:lang w:val="en-US" w:eastAsia="zh-CN"/>
        </w:rPr>
        <w:t>计划投资</w:t>
      </w:r>
      <w:r>
        <w:rPr>
          <w:rFonts w:hint="eastAsia" w:ascii="宋体" w:hAnsi="Wingdings" w:cs="宋体"/>
          <w:color w:val="000000"/>
          <w:kern w:val="0"/>
        </w:rPr>
        <w:t>协议书》</w:t>
      </w:r>
      <w:r>
        <w:rPr>
          <w:rFonts w:hint="eastAsia" w:ascii="宋体" w:hAnsi="Wingdings" w:cs="宋体"/>
          <w:color w:val="000000"/>
          <w:kern w:val="0"/>
          <w:lang w:eastAsia="zh-CN"/>
        </w:rPr>
        <w:t>、</w:t>
      </w:r>
      <w:r>
        <w:rPr>
          <w:rFonts w:hint="eastAsia" w:ascii="宋体" w:hAnsi="Wingdings" w:cs="宋体"/>
          <w:color w:val="000000"/>
          <w:kern w:val="0"/>
          <w:lang w:val="en-US" w:eastAsia="zh-CN"/>
        </w:rPr>
        <w:t>《杭银理财理财计划销售协议书》</w:t>
      </w:r>
      <w:r>
        <w:rPr>
          <w:rFonts w:hint="eastAsia" w:ascii="宋体" w:hAnsi="Wingdings" w:cs="宋体"/>
          <w:color w:val="000000"/>
          <w:kern w:val="0"/>
        </w:rPr>
        <w:t>的相关约定执行。</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w:t>
      </w:r>
      <w:r>
        <w:rPr>
          <w:rFonts w:hint="eastAsia" w:ascii="宋体" w:hAnsi="宋体"/>
          <w:kern w:val="0"/>
          <w:lang w:eastAsia="zh-CN"/>
        </w:rPr>
        <w:t>、</w:t>
      </w:r>
      <w:r>
        <w:rPr>
          <w:rFonts w:hint="eastAsia" w:ascii="宋体" w:hAnsi="宋体"/>
          <w:kern w:val="0"/>
        </w:rPr>
        <w:t>理财计划投资协议书</w:t>
      </w:r>
      <w:r>
        <w:rPr>
          <w:rFonts w:hint="eastAsia" w:ascii="宋体" w:hAnsi="宋体"/>
          <w:kern w:val="0"/>
          <w:lang w:val="en-US" w:eastAsia="zh-CN"/>
        </w:rPr>
        <w:t>和理财计划销售协议书</w:t>
      </w:r>
      <w:r>
        <w:rPr>
          <w:rFonts w:hint="eastAsia" w:ascii="宋体" w:hAnsi="宋体"/>
          <w:kern w:val="0"/>
        </w:rPr>
        <w:t>）等相关协议文件，确认对理财计划条款及风险理解并无疑问和异议后，自主作出认（申）购和赎回决定，独立抄录风险确认语句并签署相关销售文件，办理理财计划交易手续，自主承担投资风险。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4"/>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spacing w:line="520" w:lineRule="exact"/>
        <w:ind w:firstLine="0" w:firstLineChars="0"/>
        <w:rPr>
          <w:rFonts w:hint="eastAsia" w:ascii="宋体" w:hAnsi="Wingdings" w:cs="宋体"/>
          <w:color w:val="000000"/>
          <w:kern w:val="0"/>
        </w:rPr>
      </w:pPr>
      <w:r>
        <w:rPr>
          <w:rFonts w:hint="eastAsia" w:ascii="宋体" w:hAnsi="宋体"/>
          <w:kern w:val="0"/>
        </w:rPr>
        <w:t>若上述联系方式变更，杭银理财将提前通过原官方网站及时告知投资者</w:t>
      </w: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spacing w:line="520" w:lineRule="exact"/>
        <w:ind w:firstLine="0" w:firstLineChars="0"/>
        <w:rPr>
          <w:rFonts w:hint="eastAsia" w:ascii="宋体" w:hAnsi="Wingdings" w:cs="宋体"/>
          <w:color w:val="000000"/>
          <w:kern w:val="0"/>
        </w:rPr>
      </w:pP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ascii="宋体" w:hAnsi="宋体"/>
          <w:b/>
          <w:bCs/>
        </w:rPr>
      </w:pPr>
      <w:r>
        <w:rPr>
          <w:rFonts w:hint="eastAsia" w:ascii="宋体" w:hAnsi="宋体"/>
        </w:rPr>
        <w:t>（202101版）</w:t>
      </w:r>
    </w:p>
    <w:p>
      <w:pPr>
        <w:jc w:val="center"/>
        <w:rPr>
          <w:rFonts w:ascii="宋体" w:hAnsi="宋体"/>
          <w:b/>
          <w:bCs/>
        </w:rPr>
      </w:pPr>
    </w:p>
    <w:p>
      <w:pPr>
        <w:spacing w:line="360" w:lineRule="auto"/>
        <w:ind w:firstLine="422" w:firstLineChars="200"/>
        <w:rPr>
          <w:rFonts w:ascii="宋体" w:hAnsi="宋体"/>
          <w:b/>
          <w:bCs/>
        </w:rPr>
      </w:pPr>
      <w:r>
        <w:rPr>
          <w:rFonts w:hint="eastAsia" w:ascii="宋体" w:hAnsi="宋体"/>
          <w:b/>
          <w:bCs/>
        </w:rPr>
        <w:t>特别提示：杭银理财理财计划投资协议书与杭银理财理财计划</w:t>
      </w:r>
      <w:r>
        <w:rPr>
          <w:rFonts w:hint="eastAsia" w:ascii="宋体" w:hAnsi="宋体"/>
          <w:b/>
          <w:bCs/>
          <w:lang w:val="en-US" w:eastAsia="zh-CN"/>
        </w:rPr>
        <w:t>销售</w:t>
      </w:r>
      <w:r>
        <w:rPr>
          <w:rFonts w:hint="eastAsia" w:ascii="宋体" w:hAnsi="宋体"/>
          <w:b/>
          <w:bCs/>
        </w:rPr>
        <w:t>协议书</w:t>
      </w:r>
      <w:r>
        <w:rPr>
          <w:rFonts w:hint="eastAsia" w:ascii="宋体" w:hAnsi="宋体"/>
          <w:b/>
          <w:bCs/>
          <w:lang w:eastAsia="zh-CN"/>
        </w:rPr>
        <w:t>、</w:t>
      </w:r>
      <w:r>
        <w:rPr>
          <w:rFonts w:hint="eastAsia" w:ascii="宋体" w:hAnsi="宋体"/>
          <w:b/>
          <w:bCs/>
        </w:rPr>
        <w:t>投资者权益须知、风险揭示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b/>
          <w:bCs/>
        </w:rPr>
      </w:pPr>
      <w:r>
        <w:rPr>
          <w:rFonts w:hint="eastAsia" w:ascii="宋体" w:hAnsi="宋体"/>
          <w:b/>
          <w:bCs/>
        </w:rPr>
        <w:t>名词释义</w:t>
      </w:r>
    </w:p>
    <w:p>
      <w:pPr>
        <w:spacing w:line="360" w:lineRule="auto"/>
        <w:ind w:firstLine="420" w:firstLineChars="200"/>
        <w:rPr>
          <w:rFonts w:ascii="宋体" w:hAnsi="宋体"/>
        </w:rPr>
      </w:pPr>
      <w:r>
        <w:rPr>
          <w:rFonts w:hint="eastAsia" w:ascii="宋体" w:hAnsi="宋体"/>
        </w:rPr>
        <w:t>详见理财计划说明书“释义”部分。</w:t>
      </w:r>
    </w:p>
    <w:p>
      <w:pPr>
        <w:numPr>
          <w:ilvl w:val="0"/>
          <w:numId w:val="26"/>
        </w:numPr>
        <w:spacing w:line="360" w:lineRule="auto"/>
        <w:ind w:firstLine="422" w:firstLineChars="200"/>
        <w:rPr>
          <w:rFonts w:ascii="宋体" w:hAnsi="宋体"/>
          <w:b/>
          <w:bCs/>
        </w:rPr>
      </w:pPr>
      <w:r>
        <w:rPr>
          <w:rFonts w:hint="eastAsia" w:ascii="宋体" w:hAnsi="宋体"/>
          <w:b/>
          <w:bCs/>
        </w:rPr>
        <w:t>投资者权利与义务</w:t>
      </w:r>
    </w:p>
    <w:p>
      <w:pPr>
        <w:widowControl/>
        <w:numPr>
          <w:ilvl w:val="0"/>
          <w:numId w:val="27"/>
        </w:numPr>
        <w:spacing w:line="360" w:lineRule="auto"/>
        <w:contextualSpacing/>
        <w:rPr>
          <w:rFonts w:ascii="宋体" w:hAnsi="宋体"/>
        </w:rPr>
      </w:pPr>
      <w:r>
        <w:rPr>
          <w:rFonts w:hint="eastAsia" w:ascii="宋体" w:hAnsi="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rPr>
      </w:pPr>
      <w:r>
        <w:rPr>
          <w:rFonts w:hint="eastAsia" w:ascii="宋体" w:hAnsi="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rPr>
      </w:pPr>
      <w:r>
        <w:rPr>
          <w:rFonts w:hint="eastAsia" w:ascii="宋体" w:hAnsi="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rPr>
      </w:pPr>
      <w:r>
        <w:rPr>
          <w:rFonts w:hint="eastAsia" w:ascii="宋体" w:hAnsi="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rPr>
      </w:pPr>
      <w:r>
        <w:rPr>
          <w:rFonts w:hint="eastAsia" w:ascii="宋体" w:hAnsi="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rPr>
      </w:pPr>
      <w:r>
        <w:rPr>
          <w:rFonts w:hint="eastAsia" w:ascii="宋体" w:hAnsi="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rPr>
      </w:pPr>
      <w:r>
        <w:rPr>
          <w:rFonts w:hint="eastAsia" w:ascii="宋体" w:hAnsi="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rPr>
      </w:pPr>
      <w:r>
        <w:rPr>
          <w:rFonts w:hint="eastAsia" w:ascii="宋体" w:hAnsi="宋体"/>
        </w:rPr>
        <w:t xml:space="preserve">投资者进行投资时，应严格遵守反洗钱相关法规的规定，切实履行反洗钱及反恐怖融资义务。 </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管理人权利与义务</w:t>
      </w:r>
    </w:p>
    <w:p>
      <w:pPr>
        <w:widowControl/>
        <w:numPr>
          <w:ilvl w:val="0"/>
          <w:numId w:val="28"/>
        </w:numPr>
        <w:spacing w:line="360" w:lineRule="auto"/>
        <w:contextualSpacing/>
        <w:rPr>
          <w:rFonts w:ascii="宋体" w:hAnsi="宋体"/>
        </w:rPr>
      </w:pPr>
      <w:r>
        <w:rPr>
          <w:rFonts w:hint="eastAsia" w:ascii="宋体" w:hAnsi="宋体"/>
        </w:rPr>
        <w:t xml:space="preserve">管理人应当诚实守信、勤勉尽责地履行受人之托、代人理财职责。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rPr>
      </w:pPr>
      <w:r>
        <w:rPr>
          <w:rFonts w:hint="eastAsia" w:ascii="宋体" w:hAnsi="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rPr>
      </w:pPr>
      <w:r>
        <w:rPr>
          <w:rFonts w:hint="eastAsia" w:ascii="宋体" w:hAnsi="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rPr>
      </w:pPr>
      <w:r>
        <w:rPr>
          <w:rFonts w:hint="eastAsia" w:ascii="宋体" w:hAnsi="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rPr>
      </w:pPr>
      <w:r>
        <w:rPr>
          <w:rFonts w:hint="eastAsia" w:ascii="宋体" w:hAnsi="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rPr>
      </w:pPr>
      <w:r>
        <w:rPr>
          <w:rFonts w:hint="eastAsia" w:ascii="宋体" w:hAnsi="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rPr>
      </w:pPr>
      <w:r>
        <w:rPr>
          <w:rFonts w:hint="eastAsia" w:ascii="宋体" w:hAnsi="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rPr>
      </w:pPr>
      <w:r>
        <w:rPr>
          <w:rFonts w:hint="eastAsia" w:ascii="宋体" w:hAnsi="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理财计划认（申）购、赎回及终止</w:t>
      </w:r>
    </w:p>
    <w:p>
      <w:pPr>
        <w:widowControl/>
        <w:numPr>
          <w:ilvl w:val="0"/>
          <w:numId w:val="29"/>
        </w:numPr>
        <w:spacing w:line="360" w:lineRule="auto"/>
        <w:contextualSpacing/>
        <w:rPr>
          <w:rFonts w:ascii="宋体" w:hAnsi="宋体"/>
        </w:rPr>
      </w:pPr>
      <w:r>
        <w:rPr>
          <w:rFonts w:hint="eastAsia" w:ascii="宋体" w:hAnsi="宋体"/>
        </w:rPr>
        <w:t xml:space="preserve">理财计划认/申购办理流程：参照《投资者权益须知》约定。 </w:t>
      </w:r>
    </w:p>
    <w:p>
      <w:pPr>
        <w:widowControl/>
        <w:numPr>
          <w:ilvl w:val="0"/>
          <w:numId w:val="29"/>
        </w:numPr>
        <w:spacing w:line="360" w:lineRule="auto"/>
        <w:contextualSpacing/>
        <w:rPr>
          <w:rFonts w:ascii="宋体" w:hAnsi="宋体"/>
        </w:rPr>
      </w:pPr>
      <w:r>
        <w:rPr>
          <w:rFonts w:hint="eastAsia" w:ascii="宋体" w:hAnsi="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rPr>
      </w:pPr>
      <w:r>
        <w:rPr>
          <w:rFonts w:hint="eastAsia" w:ascii="宋体" w:hAnsi="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rPr>
      </w:pPr>
      <w:r>
        <w:rPr>
          <w:rFonts w:hint="eastAsia" w:ascii="宋体" w:hAnsi="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rPr>
      </w:pPr>
      <w:r>
        <w:rPr>
          <w:rFonts w:hint="eastAsia" w:ascii="宋体" w:hAnsi="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rPr>
      </w:pPr>
      <w:r>
        <w:rPr>
          <w:rFonts w:hint="eastAsia" w:ascii="宋体" w:hAnsi="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税收处理</w:t>
      </w:r>
    </w:p>
    <w:p>
      <w:pPr>
        <w:widowControl/>
        <w:spacing w:line="360" w:lineRule="auto"/>
        <w:ind w:firstLine="420" w:firstLineChars="200"/>
        <w:contextualSpacing/>
        <w:rPr>
          <w:rFonts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rPr>
      </w:pPr>
    </w:p>
    <w:p>
      <w:pPr>
        <w:numPr>
          <w:ilvl w:val="0"/>
          <w:numId w:val="26"/>
        </w:numPr>
        <w:spacing w:line="360" w:lineRule="auto"/>
        <w:ind w:firstLine="422" w:firstLineChars="200"/>
        <w:rPr>
          <w:rFonts w:ascii="宋体" w:hAnsi="宋体"/>
          <w:b/>
          <w:bCs/>
        </w:rPr>
      </w:pPr>
      <w:r>
        <w:rPr>
          <w:rFonts w:hint="eastAsia" w:ascii="宋体" w:hAnsi="宋体"/>
          <w:b/>
          <w:bCs/>
        </w:rPr>
        <w:t>违约责任及免责条款</w:t>
      </w:r>
    </w:p>
    <w:p>
      <w:pPr>
        <w:widowControl/>
        <w:numPr>
          <w:ilvl w:val="0"/>
          <w:numId w:val="30"/>
        </w:numPr>
        <w:spacing w:line="360" w:lineRule="auto"/>
        <w:contextualSpacing/>
        <w:rPr>
          <w:rFonts w:ascii="宋体" w:hAnsi="宋体"/>
        </w:rPr>
      </w:pPr>
      <w:r>
        <w:rPr>
          <w:rFonts w:hint="eastAsia" w:ascii="宋体" w:hAnsi="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rPr>
      </w:pPr>
      <w:r>
        <w:rPr>
          <w:rFonts w:hint="eastAsia" w:ascii="宋体" w:hAnsi="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rPr>
      </w:pPr>
      <w:r>
        <w:rPr>
          <w:rFonts w:hint="eastAsia" w:ascii="宋体" w:hAnsi="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rPr>
      </w:pPr>
      <w:r>
        <w:rPr>
          <w:rFonts w:hint="eastAsia" w:ascii="宋体" w:hAnsi="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rPr>
      </w:pPr>
      <w:r>
        <w:rPr>
          <w:rFonts w:hint="eastAsia" w:ascii="宋体" w:hAnsi="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rPr>
      </w:pPr>
      <w:r>
        <w:rPr>
          <w:rFonts w:hint="eastAsia" w:ascii="宋体" w:hAnsi="宋体"/>
        </w:rPr>
        <w:t>管理人若严格按照产品说明书相关规定进行投资运作，给投资者造成损失的，应免除管理人责任。</w:t>
      </w:r>
    </w:p>
    <w:p>
      <w:pPr>
        <w:widowControl/>
        <w:spacing w:line="360" w:lineRule="auto"/>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Times New Roman" w:hAnsi="Times New Roman"/>
          <w:b/>
          <w:bCs/>
        </w:rPr>
      </w:pPr>
    </w:p>
    <w:p>
      <w:pPr>
        <w:numPr>
          <w:ilvl w:val="0"/>
          <w:numId w:val="26"/>
        </w:numPr>
        <w:spacing w:line="360" w:lineRule="auto"/>
        <w:ind w:firstLine="422" w:firstLineChars="200"/>
        <w:rPr>
          <w:rFonts w:ascii="宋体" w:hAnsi="宋体"/>
          <w:b/>
          <w:bCs/>
        </w:rPr>
      </w:pPr>
      <w:r>
        <w:rPr>
          <w:rFonts w:hint="eastAsia" w:ascii="宋体" w:hAnsi="宋体"/>
          <w:b/>
          <w:bCs/>
        </w:rPr>
        <w:t>协议生效和终止</w:t>
      </w:r>
    </w:p>
    <w:p>
      <w:pPr>
        <w:widowControl/>
        <w:numPr>
          <w:ilvl w:val="0"/>
          <w:numId w:val="31"/>
        </w:numPr>
        <w:spacing w:line="360" w:lineRule="auto"/>
        <w:contextualSpacing/>
        <w:rPr>
          <w:rFonts w:ascii="宋体" w:hAnsi="宋体"/>
        </w:rPr>
      </w:pPr>
      <w:r>
        <w:rPr>
          <w:rFonts w:hint="eastAsia" w:ascii="宋体" w:hAnsi="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rPr>
      </w:pPr>
      <w:r>
        <w:rPr>
          <w:rFonts w:hint="eastAsia" w:ascii="宋体" w:hAnsi="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rPr>
      </w:pPr>
      <w:r>
        <w:rPr>
          <w:rFonts w:hint="eastAsia" w:ascii="宋体" w:hAnsi="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rPr>
      </w:pPr>
      <w:r>
        <w:rPr>
          <w:rFonts w:hint="eastAsia" w:ascii="宋体" w:hAnsi="宋体"/>
        </w:rPr>
        <w:t>投资者和管理人双方在本协议及对应期次的《理财计划产品说明书》项下权利义务履行完毕之日，本协议自动终止。</w:t>
      </w:r>
    </w:p>
    <w:p>
      <w:pPr>
        <w:widowControl/>
        <w:spacing w:line="360" w:lineRule="auto"/>
        <w:ind w:left="6"/>
        <w:contextualSpacing/>
        <w:rPr>
          <w:rFonts w:ascii="宋体" w:hAnsi="宋体"/>
        </w:rPr>
      </w:pPr>
    </w:p>
    <w:p>
      <w:pPr>
        <w:numPr>
          <w:ilvl w:val="0"/>
          <w:numId w:val="26"/>
        </w:numPr>
        <w:spacing w:line="360" w:lineRule="auto"/>
        <w:ind w:firstLine="422" w:firstLineChars="200"/>
        <w:rPr>
          <w:rFonts w:ascii="Times New Roman" w:hAnsi="Times New Roman"/>
          <w:b/>
          <w:bCs/>
        </w:rPr>
      </w:pPr>
      <w:r>
        <w:rPr>
          <w:rFonts w:hint="eastAsia" w:ascii="宋体" w:hAnsi="宋体"/>
          <w:b/>
          <w:bCs/>
        </w:rPr>
        <w:t>附则</w:t>
      </w:r>
    </w:p>
    <w:p>
      <w:pPr>
        <w:widowControl/>
        <w:numPr>
          <w:ilvl w:val="0"/>
          <w:numId w:val="32"/>
        </w:numPr>
        <w:spacing w:line="360" w:lineRule="auto"/>
        <w:contextualSpacing/>
        <w:rPr>
          <w:rFonts w:ascii="宋体" w:hAnsi="宋体"/>
        </w:rPr>
      </w:pPr>
      <w:r>
        <w:rPr>
          <w:rFonts w:hint="eastAsia" w:ascii="宋体" w:hAnsi="宋体"/>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numPr>
          <w:ilvl w:val="0"/>
          <w:numId w:val="32"/>
        </w:numPr>
        <w:spacing w:line="360" w:lineRule="auto"/>
        <w:contextualSpacing/>
        <w:rPr>
          <w:rFonts w:ascii="宋体" w:hAnsi="宋体"/>
        </w:rPr>
      </w:pPr>
      <w:r>
        <w:rPr>
          <w:rFonts w:hint="eastAsia" w:ascii="宋体" w:hAnsi="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rPr>
      </w:pPr>
      <w:r>
        <w:rPr>
          <w:rFonts w:hint="eastAsia" w:ascii="宋体" w:hAnsi="宋体"/>
        </w:rPr>
        <w:t>在理财计划存续期内，如因监管政策或法律法规发生变化，在不损害投资者利益的前提下，管理人有权单方对理财计划合同进行修订。</w:t>
      </w:r>
    </w:p>
    <w:p>
      <w:pPr>
        <w:spacing w:line="360" w:lineRule="auto"/>
        <w:rPr>
          <w:rFonts w:ascii="宋体" w:hAnsi="宋体"/>
          <w:color w:val="000000"/>
        </w:rPr>
      </w:pPr>
    </w:p>
    <w:p>
      <w:pPr>
        <w:spacing w:line="360" w:lineRule="auto"/>
        <w:rPr>
          <w:rFonts w:ascii="宋体" w:hAnsi="宋体"/>
          <w:color w:val="000000"/>
        </w:rPr>
      </w:pPr>
    </w:p>
    <w:p>
      <w:pPr>
        <w:pStyle w:val="10"/>
        <w:widowControl/>
        <w:spacing w:line="360" w:lineRule="auto"/>
        <w:jc w:val="right"/>
        <w:rPr>
          <w:rFonts w:hint="eastAsia" w:ascii="宋体" w:hAnsi="Wingdings"/>
          <w:color w:val="000000"/>
          <w:kern w:val="0"/>
          <w:sz w:val="21"/>
          <w:szCs w:val="21"/>
        </w:rPr>
      </w:pPr>
      <w:r>
        <w:rPr>
          <w:rFonts w:hint="eastAsia" w:ascii="宋体" w:hAnsi="宋体"/>
          <w:kern w:val="0"/>
          <w:sz w:val="21"/>
          <w:szCs w:val="21"/>
        </w:rPr>
        <w:t>杭银理财有限责任公司</w:t>
      </w: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pStyle w:val="10"/>
        <w:widowControl/>
        <w:spacing w:line="360" w:lineRule="auto"/>
        <w:jc w:val="center"/>
        <w:rPr>
          <w:rFonts w:ascii="宋体" w:hAnsi="宋体" w:cs="宋体"/>
          <w:kern w:val="0"/>
          <w:sz w:val="21"/>
          <w:szCs w:val="21"/>
        </w:rPr>
      </w:pPr>
      <w:r>
        <w:rPr>
          <w:rFonts w:hint="eastAsia" w:ascii="宋体" w:hAnsi="宋体" w:cs="宋体"/>
          <w:b/>
          <w:sz w:val="32"/>
          <w:szCs w:val="32"/>
        </w:rPr>
        <w:t>杭银理财理财计划销售协议书</w:t>
      </w:r>
    </w:p>
    <w:p>
      <w:pPr>
        <w:jc w:val="center"/>
        <w:rPr>
          <w:rFonts w:ascii="宋体" w:hAnsi="宋体" w:cs="宋体"/>
        </w:rPr>
      </w:pPr>
      <w:r>
        <w:rPr>
          <w:rFonts w:hint="eastAsia" w:ascii="宋体" w:hAnsi="宋体" w:cs="宋体"/>
          <w:szCs w:val="21"/>
        </w:rPr>
        <w:t>（202101版）</w:t>
      </w:r>
    </w:p>
    <w:p>
      <w:pPr>
        <w:autoSpaceDE w:val="0"/>
        <w:spacing w:line="360" w:lineRule="auto"/>
        <w:jc w:val="center"/>
      </w:pPr>
    </w:p>
    <w:p>
      <w:pPr>
        <w:autoSpaceDE w:val="0"/>
        <w:spacing w:line="360" w:lineRule="auto"/>
        <w:ind w:firstLine="422" w:firstLineChars="200"/>
        <w:rPr>
          <w:rFonts w:ascii="宋体" w:hAnsi="宋体"/>
          <w:b/>
          <w:sz w:val="21"/>
        </w:rPr>
      </w:pPr>
      <w:r>
        <w:rPr>
          <w:rFonts w:hint="eastAsia" w:ascii="宋体" w:hAnsi="宋体"/>
          <w:b/>
          <w:sz w:val="21"/>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b/>
          <w:sz w:val="21"/>
        </w:rPr>
      </w:pPr>
      <w:r>
        <w:rPr>
          <w:rFonts w:hint="eastAsia" w:ascii="宋体" w:hAnsi="宋体"/>
          <w:b/>
          <w:sz w:val="21"/>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sz w:val="21"/>
        </w:rPr>
      </w:pPr>
      <w:r>
        <w:rPr>
          <w:rFonts w:hint="eastAsia" w:ascii="宋体" w:hAnsi="宋体"/>
          <w:sz w:val="21"/>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sz w:val="21"/>
        </w:rPr>
      </w:pPr>
      <w:r>
        <w:rPr>
          <w:rFonts w:hint="eastAsia" w:ascii="宋体" w:hAnsi="宋体"/>
          <w:sz w:val="21"/>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名词释义</w:t>
      </w:r>
    </w:p>
    <w:p>
      <w:pPr>
        <w:widowControl/>
        <w:autoSpaceDE w:val="0"/>
        <w:spacing w:line="360" w:lineRule="auto"/>
        <w:ind w:firstLine="420" w:firstLineChars="200"/>
        <w:jc w:val="left"/>
        <w:rPr>
          <w:rFonts w:ascii="宋体" w:hAnsi="宋体"/>
          <w:sz w:val="21"/>
        </w:rPr>
      </w:pPr>
      <w:r>
        <w:rPr>
          <w:rFonts w:hint="eastAsia" w:ascii="宋体" w:hAnsi="宋体"/>
          <w:sz w:val="21"/>
        </w:rPr>
        <w:t>详见对应期次的理财计划产品说明书“释义”部分。</w:t>
      </w:r>
    </w:p>
    <w:p>
      <w:pPr>
        <w:widowControl/>
        <w:autoSpaceDE w:val="0"/>
        <w:spacing w:line="360" w:lineRule="auto"/>
        <w:ind w:firstLine="420" w:firstLineChars="200"/>
        <w:jc w:val="left"/>
        <w:rPr>
          <w:rFonts w:ascii="宋体" w:hAnsi="宋体"/>
          <w:sz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投资者权利与义务</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sz w:val="21"/>
          <w:szCs w:val="21"/>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投资者保证自身完全了解理财投资的性质，投资所涉及的风险以及自身风险承受能力，在慎重考虑后独立作出交易决定。</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sz w:val="21"/>
          <w:szCs w:val="21"/>
        </w:rPr>
        <w:t>投资冷静期相关约定详见理财计划产品说明书。</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投资者保证其有权利签署本协议和履行本协议所述的义务，并已为此采取一切所需的行为。</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b/>
          <w:sz w:val="21"/>
          <w:szCs w:val="21"/>
        </w:rPr>
        <w:t>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sz w:val="21"/>
          <w:szCs w:val="21"/>
        </w:rPr>
        <w:t>。</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本协议终止前，投资者不得将授权指定账户销户。若发生因投资者注销授权指定账户造成理财计划无法正常兑付的，代理销售机构不承担任何责任。</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投资者对本协议及其条款负有保密义务，未经代理销售机构书面许可，不得向任何组织、个人提供或泄露与代理销售机构有关的业务资料及信息，但法律、法规另有规定的除外。</w:t>
      </w:r>
    </w:p>
    <w:p>
      <w:pPr>
        <w:pStyle w:val="10"/>
        <w:widowControl/>
        <w:numPr>
          <w:ilvl w:val="0"/>
          <w:numId w:val="34"/>
        </w:numPr>
        <w:spacing w:line="360" w:lineRule="auto"/>
        <w:contextualSpacing/>
        <w:rPr>
          <w:rFonts w:ascii="宋体" w:hAnsi="宋体" w:cs="黑体"/>
          <w:sz w:val="21"/>
          <w:szCs w:val="21"/>
        </w:rPr>
      </w:pPr>
      <w:r>
        <w:rPr>
          <w:rFonts w:hint="eastAsia" w:ascii="宋体" w:hAnsi="宋体" w:cs="黑体"/>
          <w:sz w:val="21"/>
          <w:szCs w:val="21"/>
        </w:rPr>
        <w:t>投资者进行投资时，应严格遵守反洗钱相关法规的规定，切实履行反洗钱及反恐怖融资义务。</w:t>
      </w:r>
    </w:p>
    <w:p>
      <w:pPr>
        <w:pStyle w:val="10"/>
        <w:widowControl/>
        <w:numPr>
          <w:ilvl w:val="0"/>
          <w:numId w:val="34"/>
        </w:numPr>
        <w:spacing w:line="360" w:lineRule="auto"/>
        <w:contextualSpacing/>
        <w:rPr>
          <w:rFonts w:ascii="宋体" w:hAnsi="宋体" w:cs="黑体"/>
          <w:b/>
          <w:sz w:val="21"/>
          <w:szCs w:val="21"/>
        </w:rPr>
      </w:pPr>
      <w:r>
        <w:rPr>
          <w:rFonts w:hint="eastAsia" w:ascii="宋体" w:hAnsi="宋体" w:cs="黑体"/>
          <w:b/>
          <w:sz w:val="21"/>
          <w:szCs w:val="21"/>
        </w:rPr>
        <w:t>投资者个人信息授权</w:t>
      </w:r>
    </w:p>
    <w:p>
      <w:pPr>
        <w:pStyle w:val="10"/>
        <w:widowControl/>
        <w:spacing w:line="360" w:lineRule="auto"/>
        <w:ind w:firstLine="422" w:firstLineChars="200"/>
        <w:rPr>
          <w:rFonts w:ascii="宋体" w:hAnsi="宋体" w:cs="黑体"/>
          <w:b/>
          <w:sz w:val="21"/>
          <w:szCs w:val="21"/>
        </w:rPr>
      </w:pPr>
      <w:r>
        <w:rPr>
          <w:rFonts w:hint="eastAsia" w:ascii="宋体" w:hAnsi="宋体" w:cs="黑体"/>
          <w:b/>
          <w:sz w:val="21"/>
          <w:szCs w:val="21"/>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pStyle w:val="10"/>
        <w:widowControl/>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代理销售机构的权利与义务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b/>
          <w:sz w:val="21"/>
          <w:szCs w:val="21"/>
        </w:rPr>
        <w:t>代理销售机构非本计划的发行、管理机构，对本计划的业绩不承担任何保证和其他经济责任，不承担本计划的投资、兑付和风险管理责任</w:t>
      </w:r>
      <w:r>
        <w:rPr>
          <w:rFonts w:hint="eastAsia" w:ascii="宋体" w:hAnsi="宋体" w:cs="黑体"/>
          <w:sz w:val="21"/>
          <w:szCs w:val="21"/>
        </w:rPr>
        <w:t>。</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代理销售机构应定期对购买其代理销售的理财计划的非机构投资者进行有效风险承受能力评估，并保证向投资者推介及销售与其风险承受能力匹配的产品。</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pStyle w:val="10"/>
        <w:widowControl/>
        <w:numPr>
          <w:ilvl w:val="0"/>
          <w:numId w:val="35"/>
        </w:numPr>
        <w:autoSpaceDE w:val="0"/>
        <w:spacing w:line="360" w:lineRule="auto"/>
        <w:contextualSpacing/>
        <w:rPr>
          <w:rFonts w:ascii="宋体" w:hAnsi="宋体" w:cs="黑体"/>
          <w:sz w:val="21"/>
          <w:szCs w:val="21"/>
        </w:rPr>
      </w:pPr>
      <w:r>
        <w:rPr>
          <w:rFonts w:hint="eastAsia" w:ascii="宋体" w:hAnsi="宋体" w:cs="黑体"/>
          <w:sz w:val="21"/>
          <w:szCs w:val="21"/>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代理销售机构应建立健全上岗资格、持续培训、信息公示与查询核实等制度并有效执行。未经代理销售机构进行上岗资格认定并签订劳动合同，任何人员不得从事理财计划销售业务活动。</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代理销售机构应对所有销售人员信息进行登记和公示。销售人员在向投资者宣传销售理财计划前进行自我介绍并告知信息查询和核实渠道，便于投资者查询核实，防止伪冒身份和虚假宣传。</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代理销售机构对投资者负有信息保密义务，未经投资者书面许可，乙方不得向任何组织、个人提供或泄露与甲方有关的业务资料及信息，但法律、法规另有规定的除外。</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代理销售机构应按照法律法规、监管规定、理财计划合同的约定收取销售费用，并如实核算、记账。未经载明，不得对不同投资者适用不同费率。</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理财计划销售结算资金属于理财计划投资者，代理销售机构不得挪用理财计划销售结算资金或将理财计划销售结算资金归入自有资产。</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代理销售机构应遵守相关法律、法规、监管规定及理财计划合同约定，诚实守信、勤勉尽责，向购买理财计划的投资者充分传递管理人披露的产品相关信息并进行充分的风险揭示。</w:t>
      </w:r>
    </w:p>
    <w:p>
      <w:pPr>
        <w:pStyle w:val="10"/>
        <w:widowControl/>
        <w:numPr>
          <w:ilvl w:val="0"/>
          <w:numId w:val="35"/>
        </w:numPr>
        <w:autoSpaceDE w:val="0"/>
        <w:spacing w:line="360" w:lineRule="auto"/>
        <w:contextualSpacing/>
        <w:jc w:val="left"/>
        <w:rPr>
          <w:rFonts w:ascii="宋体" w:hAnsi="宋体" w:cs="黑体"/>
          <w:sz w:val="21"/>
          <w:szCs w:val="21"/>
        </w:rPr>
      </w:pPr>
      <w:r>
        <w:rPr>
          <w:rFonts w:hint="eastAsia" w:ascii="宋体" w:hAnsi="宋体" w:cs="黑体"/>
          <w:sz w:val="21"/>
          <w:szCs w:val="21"/>
        </w:rPr>
        <w:t>代理销售机构应当充分利用科技手段，加强对伪冒网站、伪冒产品等监测，有效防范各类欺诈风险。</w:t>
      </w:r>
    </w:p>
    <w:p>
      <w:pPr>
        <w:pStyle w:val="10"/>
        <w:widowControl/>
        <w:autoSpaceDE w:val="0"/>
        <w:spacing w:line="360" w:lineRule="auto"/>
        <w:ind w:left="482"/>
        <w:contextualSpacing/>
        <w:jc w:val="left"/>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理财计划认（申）购、赎回及终止</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理财计划认/申购办理流程：参照投资者权益须知约定。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理财计划认/申购确认：管理人根据代理销售渠道提供的交易信息及资金划付对投资者相应认/申购进行确认。</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 xml:space="preserve">理财计划投资品种、投资起点金额、收益支付方式：参照对应期次的理财计划产品说明书中的条款约定。 </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pStyle w:val="10"/>
        <w:widowControl/>
        <w:numPr>
          <w:ilvl w:val="0"/>
          <w:numId w:val="36"/>
        </w:numPr>
        <w:autoSpaceDE w:val="0"/>
        <w:spacing w:line="360" w:lineRule="auto"/>
        <w:contextualSpacing/>
        <w:rPr>
          <w:rFonts w:ascii="宋体" w:hAnsi="宋体" w:cs="黑体"/>
          <w:sz w:val="21"/>
          <w:szCs w:val="21"/>
        </w:rPr>
      </w:pPr>
      <w:r>
        <w:rPr>
          <w:rFonts w:hint="eastAsia" w:ascii="宋体" w:hAnsi="宋体" w:cs="黑体"/>
          <w:sz w:val="21"/>
          <w:szCs w:val="21"/>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pStyle w:val="10"/>
        <w:widowControl/>
        <w:autoSpaceDE w:val="0"/>
        <w:spacing w:line="360" w:lineRule="auto"/>
        <w:ind w:left="178" w:leftChars="85"/>
        <w:contextualSpacing/>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违约责任及免责条款</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若由于代理销售机构过错导致理财计划资产发生损失，代理销售机构应按其过错承担赔偿责任，代理销售机构赔偿的款项计入理财计划的资产和收益。</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pStyle w:val="10"/>
        <w:widowControl/>
        <w:numPr>
          <w:ilvl w:val="0"/>
          <w:numId w:val="37"/>
        </w:numPr>
        <w:autoSpaceDE w:val="0"/>
        <w:spacing w:line="360" w:lineRule="auto"/>
        <w:contextualSpacing/>
        <w:rPr>
          <w:rFonts w:ascii="宋体" w:hAnsi="宋体" w:cs="黑体"/>
          <w:sz w:val="21"/>
          <w:szCs w:val="21"/>
        </w:rPr>
      </w:pPr>
      <w:r>
        <w:rPr>
          <w:rFonts w:hint="eastAsia" w:ascii="宋体" w:hAnsi="宋体" w:cs="黑体"/>
          <w:sz w:val="21"/>
          <w:szCs w:val="21"/>
        </w:rPr>
        <w:t>因国家有关法律、法规、规章、政策的修改或新的法律、法规、规章、政策颁布以及紧急措施的出台导致的风险及损失，代理销售机构不承担责任。</w:t>
      </w:r>
    </w:p>
    <w:p>
      <w:pPr>
        <w:pStyle w:val="10"/>
        <w:widowControl/>
        <w:autoSpaceDE w:val="0"/>
        <w:spacing w:line="360" w:lineRule="auto"/>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适用法律与争议解决</w:t>
      </w:r>
    </w:p>
    <w:p>
      <w:pPr>
        <w:pStyle w:val="10"/>
        <w:widowControl/>
        <w:autoSpaceDE w:val="0"/>
        <w:spacing w:line="360" w:lineRule="auto"/>
        <w:ind w:firstLine="420" w:firstLineChars="200"/>
        <w:rPr>
          <w:rFonts w:ascii="宋体" w:hAnsi="宋体" w:cs="黑体"/>
          <w:sz w:val="21"/>
          <w:szCs w:val="21"/>
        </w:rPr>
      </w:pPr>
      <w:r>
        <w:rPr>
          <w:rFonts w:hint="eastAsia" w:ascii="宋体" w:hAnsi="宋体" w:cs="黑体"/>
          <w:sz w:val="21"/>
          <w:szCs w:val="21"/>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pStyle w:val="10"/>
        <w:widowControl/>
        <w:autoSpaceDE w:val="0"/>
        <w:spacing w:line="360" w:lineRule="auto"/>
        <w:ind w:firstLine="422" w:firstLineChars="200"/>
        <w:rPr>
          <w:rFonts w:ascii="宋体" w:hAnsi="宋体" w:cs="黑体"/>
          <w:b/>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协议生效和终止</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投资者和代理销售机构双方认可本协议可以纸质或电子数据等形式提交、订立或确认。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 xml:space="preserve">本协议书以纸质书面形式订立的，自投资者签字和代理销售机构签章之后立即生效。协议一式叁份，投资者、管理人和代理销售机构各执壹份，具有同等法律效力。 </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pStyle w:val="10"/>
        <w:widowControl/>
        <w:numPr>
          <w:ilvl w:val="0"/>
          <w:numId w:val="38"/>
        </w:numPr>
        <w:autoSpaceDE w:val="0"/>
        <w:spacing w:line="360" w:lineRule="auto"/>
        <w:contextualSpacing/>
        <w:rPr>
          <w:rFonts w:ascii="宋体" w:hAnsi="宋体" w:cs="黑体"/>
          <w:sz w:val="21"/>
          <w:szCs w:val="21"/>
        </w:rPr>
      </w:pPr>
      <w:r>
        <w:rPr>
          <w:rFonts w:hint="eastAsia" w:ascii="宋体" w:hAnsi="宋体" w:cs="黑体"/>
          <w:sz w:val="21"/>
          <w:szCs w:val="21"/>
        </w:rPr>
        <w:t>投资者和代理销售机构双方在本协议及对应期次的理财计划产品说明书项下权利义务履行完毕之日，本协议自动终止。</w:t>
      </w:r>
    </w:p>
    <w:p>
      <w:pPr>
        <w:pStyle w:val="10"/>
        <w:widowControl/>
        <w:autoSpaceDE w:val="0"/>
        <w:spacing w:line="360" w:lineRule="auto"/>
        <w:ind w:left="420"/>
        <w:contextualSpacing/>
        <w:rPr>
          <w:rFonts w:ascii="宋体" w:hAnsi="宋体" w:cs="黑体"/>
          <w:sz w:val="21"/>
          <w:szCs w:val="21"/>
        </w:rPr>
      </w:pPr>
    </w:p>
    <w:p>
      <w:pPr>
        <w:widowControl/>
        <w:numPr>
          <w:ilvl w:val="0"/>
          <w:numId w:val="33"/>
        </w:numPr>
        <w:autoSpaceDE w:val="0"/>
        <w:spacing w:line="360" w:lineRule="auto"/>
        <w:ind w:firstLine="422" w:firstLineChars="200"/>
        <w:rPr>
          <w:rFonts w:ascii="宋体" w:hAnsi="宋体"/>
          <w:b/>
          <w:sz w:val="21"/>
        </w:rPr>
      </w:pPr>
      <w:r>
        <w:rPr>
          <w:rFonts w:hint="eastAsia" w:ascii="宋体" w:hAnsi="宋体"/>
          <w:b/>
          <w:sz w:val="21"/>
        </w:rPr>
        <w:t xml:space="preserve">附则 </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pStyle w:val="10"/>
        <w:widowControl/>
        <w:numPr>
          <w:ilvl w:val="0"/>
          <w:numId w:val="39"/>
        </w:numPr>
        <w:autoSpaceDE w:val="0"/>
        <w:spacing w:line="360" w:lineRule="auto"/>
        <w:contextualSpacing/>
        <w:rPr>
          <w:rFonts w:ascii="宋体" w:hAnsi="宋体" w:cs="黑体"/>
          <w:sz w:val="21"/>
          <w:szCs w:val="21"/>
        </w:rPr>
      </w:pPr>
      <w:r>
        <w:rPr>
          <w:rFonts w:hint="eastAsia" w:ascii="宋体" w:hAnsi="宋体" w:cs="黑体"/>
          <w:sz w:val="21"/>
          <w:szCs w:val="21"/>
        </w:rPr>
        <w:t>如果由于任何原因使本合同下的任何条款或内容成为无效或被依法撤销，本合同其他条款或内容的合法性、有效性和可执行性不受影响。</w:t>
      </w:r>
    </w:p>
    <w:p>
      <w:pPr>
        <w:pStyle w:val="10"/>
        <w:widowControl/>
        <w:numPr>
          <w:ilvl w:val="0"/>
          <w:numId w:val="39"/>
        </w:numPr>
        <w:autoSpaceDE w:val="0"/>
        <w:spacing w:line="360" w:lineRule="auto"/>
        <w:contextualSpacing/>
        <w:rPr>
          <w:rFonts w:ascii="宋体" w:hAnsi="宋体" w:cs="宋体"/>
          <w:sz w:val="21"/>
          <w:szCs w:val="21"/>
        </w:rPr>
      </w:pPr>
      <w:r>
        <w:rPr>
          <w:rFonts w:hint="eastAsia" w:ascii="宋体" w:hAnsi="宋体" w:cs="黑体"/>
          <w:sz w:val="21"/>
          <w:szCs w:val="21"/>
        </w:rPr>
        <w:t>在理财计划存续期内，如因监管政策或法律法规发生变化，在不损害投资者利益的前提下，管理人有权单方对理财计划合同销售文件进行修订。</w:t>
      </w:r>
    </w:p>
    <w:p>
      <w:pPr>
        <w:pStyle w:val="10"/>
        <w:widowControl/>
        <w:tabs>
          <w:tab w:val="left" w:pos="0"/>
        </w:tabs>
        <w:autoSpaceDE w:val="0"/>
        <w:spacing w:line="360" w:lineRule="auto"/>
        <w:ind w:left="420"/>
        <w:contextualSpacing/>
        <w:rPr>
          <w:rFonts w:ascii="宋体" w:hAnsi="宋体" w:cs="宋体"/>
          <w:sz w:val="21"/>
          <w:szCs w:val="21"/>
        </w:rPr>
      </w:pPr>
    </w:p>
    <w:p>
      <w:pPr>
        <w:widowControl/>
        <w:spacing w:line="360" w:lineRule="auto"/>
        <w:jc w:val="right"/>
        <w:rPr>
          <w:rFonts w:ascii="宋体" w:hAnsi="宋体" w:cs="宋体"/>
          <w:color w:val="000000"/>
          <w:kern w:val="0"/>
          <w:sz w:val="21"/>
        </w:rPr>
      </w:pPr>
      <w:r>
        <w:rPr>
          <w:rFonts w:hint="eastAsia" w:ascii="宋体" w:hAnsi="宋体" w:cs="宋体"/>
          <w:kern w:val="0"/>
          <w:sz w:val="21"/>
        </w:rPr>
        <w:t>杭银理财有限责任公司</w:t>
      </w:r>
    </w:p>
    <w:p>
      <w:pPr>
        <w:spacing w:line="360" w:lineRule="auto"/>
        <w:rPr>
          <w:rFonts w:ascii="宋体" w:hAnsi="宋体"/>
          <w:sz w:val="21"/>
        </w:rPr>
      </w:pPr>
      <w:r>
        <w:rPr>
          <w:rFonts w:hint="eastAsia" w:ascii="宋体" w:hAnsi="宋体" w:cs="Times New Roman"/>
          <w:color w:val="000000"/>
          <w:sz w:val="21"/>
        </w:rPr>
        <w:br w:type="page"/>
      </w:r>
      <w:r>
        <w:rPr>
          <w:rFonts w:hint="eastAsia" w:ascii="宋体" w:hAnsi="宋体"/>
          <w:sz w:val="21"/>
        </w:rPr>
        <w:t>本页为纸质形式（如有）销售协议书签章页</w:t>
      </w:r>
    </w:p>
    <w:p>
      <w:pPr>
        <w:spacing w:line="360" w:lineRule="auto"/>
        <w:rPr>
          <w:sz w:val="21"/>
        </w:rPr>
      </w:pPr>
    </w:p>
    <w:p>
      <w:pPr>
        <w:spacing w:line="360" w:lineRule="auto"/>
        <w:rPr>
          <w:sz w:val="21"/>
        </w:rPr>
      </w:pPr>
    </w:p>
    <w:p>
      <w:pPr>
        <w:spacing w:line="360" w:lineRule="auto"/>
        <w:rPr>
          <w:sz w:val="21"/>
        </w:rPr>
      </w:pPr>
    </w:p>
    <w:p>
      <w:pPr>
        <w:spacing w:line="360" w:lineRule="auto"/>
        <w:rPr>
          <w:sz w:val="21"/>
        </w:rPr>
      </w:pPr>
    </w:p>
    <w:p>
      <w:pPr>
        <w:spacing w:line="360" w:lineRule="auto"/>
        <w:rPr>
          <w:sz w:val="21"/>
        </w:rPr>
      </w:pPr>
      <w:bookmarkStart w:id="0" w:name="_GoBack"/>
      <w:bookmarkEnd w:id="0"/>
    </w:p>
    <w:p>
      <w:pPr>
        <w:spacing w:line="360" w:lineRule="auto"/>
        <w:rPr>
          <w:sz w:val="21"/>
        </w:rPr>
      </w:pPr>
    </w:p>
    <w:p>
      <w:pPr>
        <w:spacing w:line="360" w:lineRule="auto"/>
        <w:rPr>
          <w:sz w:val="21"/>
        </w:rPr>
      </w:pPr>
    </w:p>
    <w:p>
      <w:pPr>
        <w:spacing w:line="360" w:lineRule="auto"/>
        <w:rPr>
          <w:sz w:val="21"/>
        </w:rPr>
      </w:pPr>
    </w:p>
    <w:p>
      <w:pPr>
        <w:spacing w:line="360" w:lineRule="auto"/>
        <w:rPr>
          <w:rFonts w:ascii="宋体" w:hAnsi="宋体"/>
          <w:b/>
          <w:sz w:val="21"/>
        </w:rPr>
      </w:pPr>
      <w:r>
        <w:rPr>
          <w:rFonts w:hint="eastAsia" w:ascii="宋体" w:hAnsi="宋体"/>
          <w:b/>
          <w:sz w:val="21"/>
        </w:rPr>
        <w:t>投资者（签字）：</w:t>
      </w:r>
    </w:p>
    <w:p>
      <w:pPr>
        <w:spacing w:beforeLines="50" w:afterLines="50" w:line="360" w:lineRule="auto"/>
        <w:ind w:firstLine="4200" w:firstLineChars="2000"/>
        <w:jc w:val="right"/>
        <w:rPr>
          <w:rFonts w:ascii="Arial" w:hAnsi="Arial" w:cs="Times New Roman"/>
          <w:sz w:val="21"/>
        </w:rPr>
      </w:pPr>
      <w:r>
        <w:rPr>
          <w:rFonts w:hint="eastAsia" w:ascii="Arial" w:hAnsi="Arial" w:cs="宋体"/>
          <w:sz w:val="21"/>
        </w:rPr>
        <w:t>年    月   日</w:t>
      </w: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p>
    <w:p>
      <w:pPr>
        <w:spacing w:line="360" w:lineRule="auto"/>
        <w:rPr>
          <w:rFonts w:ascii="宋体" w:hAnsi="宋体"/>
          <w:b/>
          <w:sz w:val="21"/>
        </w:rPr>
      </w:pPr>
      <w:r>
        <w:rPr>
          <w:rFonts w:hint="eastAsia" w:ascii="宋体" w:hAnsi="宋体"/>
          <w:b/>
          <w:sz w:val="21"/>
        </w:rPr>
        <w:t>代理销售机构签章：</w:t>
      </w:r>
    </w:p>
    <w:p>
      <w:pPr>
        <w:spacing w:line="360" w:lineRule="auto"/>
        <w:rPr>
          <w:rFonts w:ascii="宋体" w:hAnsi="宋体"/>
          <w:b/>
          <w:sz w:val="21"/>
        </w:rPr>
      </w:pPr>
    </w:p>
    <w:p>
      <w:pPr>
        <w:spacing w:line="360" w:lineRule="auto"/>
        <w:rPr>
          <w:rFonts w:ascii="宋体" w:hAnsi="宋体"/>
          <w:b/>
          <w:sz w:val="21"/>
        </w:rPr>
      </w:pPr>
    </w:p>
    <w:p>
      <w:pPr>
        <w:spacing w:line="520" w:lineRule="exact"/>
        <w:ind w:firstLine="424" w:firstLineChars="202"/>
        <w:rPr>
          <w:rFonts w:hint="eastAsia" w:ascii="宋体" w:hAnsi="Wingdings" w:cs="宋体"/>
          <w:color w:val="000000"/>
          <w:kern w:val="0"/>
        </w:rPr>
      </w:pPr>
      <w:r>
        <w:rPr>
          <w:rFonts w:hint="eastAsia" w:ascii="Arial" w:hAnsi="Arial" w:cs="宋体"/>
          <w:sz w:val="21"/>
        </w:rPr>
        <w:t>年    月   日</w:t>
      </w: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8</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6F53F"/>
    <w:multiLevelType w:val="multilevel"/>
    <w:tmpl w:val="AC06F53F"/>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B3339662"/>
    <w:multiLevelType w:val="multilevel"/>
    <w:tmpl w:val="B3339662"/>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F3DD4737"/>
    <w:multiLevelType w:val="multilevel"/>
    <w:tmpl w:val="F3DD4737"/>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F72BC498"/>
    <w:multiLevelType w:val="multilevel"/>
    <w:tmpl w:val="F72BC498"/>
    <w:lvl w:ilvl="0" w:tentative="0">
      <w:start w:val="1"/>
      <w:numFmt w:val="chineseCounting"/>
      <w:suff w:val="space"/>
      <w:lvlText w:val="第%1条"/>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247AAE"/>
    <w:multiLevelType w:val="multilevel"/>
    <w:tmpl w:val="06247AAE"/>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7E51E6"/>
    <w:multiLevelType w:val="multilevel"/>
    <w:tmpl w:val="147E51E6"/>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2">
    <w:nsid w:val="1A14F15A"/>
    <w:multiLevelType w:val="multilevel"/>
    <w:tmpl w:val="1A14F15A"/>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5">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8">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0">
    <w:nsid w:val="2FC8541D"/>
    <w:multiLevelType w:val="multilevel"/>
    <w:tmpl w:val="2FC8541D"/>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56478AA"/>
    <w:multiLevelType w:val="multilevel"/>
    <w:tmpl w:val="356478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31AE820"/>
    <w:multiLevelType w:val="multilevel"/>
    <w:tmpl w:val="531AE820"/>
    <w:lvl w:ilvl="0" w:tentative="0">
      <w:start w:val="1"/>
      <w:numFmt w:val="chineseCounting"/>
      <w:suff w:val="nothing"/>
      <w:lvlText w:val="（%1）"/>
      <w:lvlJc w:val="left"/>
      <w:pPr>
        <w:tabs>
          <w:tab w:val="left" w:pos="0"/>
        </w:tabs>
        <w:ind w:left="0" w:firstLine="42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404F3FF"/>
    <w:multiLevelType w:val="singleLevel"/>
    <w:tmpl w:val="5404F3FF"/>
    <w:lvl w:ilvl="0" w:tentative="0">
      <w:start w:val="1"/>
      <w:numFmt w:val="chineseCounting"/>
      <w:suff w:val="nothing"/>
      <w:lvlText w:val="（%1）"/>
      <w:lvlJc w:val="left"/>
      <w:rPr>
        <w:rFonts w:hint="eastAsia"/>
      </w:rPr>
    </w:lvl>
  </w:abstractNum>
  <w:abstractNum w:abstractNumId="27">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9">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5B87B9D3"/>
    <w:multiLevelType w:val="singleLevel"/>
    <w:tmpl w:val="5B87B9D3"/>
    <w:lvl w:ilvl="0" w:tentative="0">
      <w:start w:val="4"/>
      <w:numFmt w:val="chineseCounting"/>
      <w:suff w:val="nothing"/>
      <w:lvlText w:val="（%1）"/>
      <w:lvlJc w:val="left"/>
    </w:lvl>
  </w:abstractNum>
  <w:abstractNum w:abstractNumId="31">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2">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00C5828"/>
    <w:multiLevelType w:val="multilevel"/>
    <w:tmpl w:val="700C5828"/>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3C633A9"/>
    <w:multiLevelType w:val="multilevel"/>
    <w:tmpl w:val="73C633A9"/>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6">
    <w:nsid w:val="78117D03"/>
    <w:multiLevelType w:val="multilevel"/>
    <w:tmpl w:val="78117D03"/>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8">
    <w:nsid w:val="7FBE672B"/>
    <w:multiLevelType w:val="multilevel"/>
    <w:tmpl w:val="7FBE672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4"/>
  </w:num>
  <w:num w:numId="2">
    <w:abstractNumId w:val="30"/>
  </w:num>
  <w:num w:numId="3">
    <w:abstractNumId w:val="33"/>
  </w:num>
  <w:num w:numId="4">
    <w:abstractNumId w:val="23"/>
  </w:num>
  <w:num w:numId="5">
    <w:abstractNumId w:val="8"/>
  </w:num>
  <w:num w:numId="6">
    <w:abstractNumId w:val="5"/>
  </w:num>
  <w:num w:numId="7">
    <w:abstractNumId w:val="18"/>
  </w:num>
  <w:num w:numId="8">
    <w:abstractNumId w:val="7"/>
  </w:num>
  <w:num w:numId="9">
    <w:abstractNumId w:val="17"/>
  </w:num>
  <w:num w:numId="10">
    <w:abstractNumId w:val="19"/>
  </w:num>
  <w:num w:numId="11">
    <w:abstractNumId w:val="37"/>
  </w:num>
  <w:num w:numId="12">
    <w:abstractNumId w:val="11"/>
  </w:num>
  <w:num w:numId="13">
    <w:abstractNumId w:val="27"/>
  </w:num>
  <w:num w:numId="14">
    <w:abstractNumId w:val="28"/>
  </w:num>
  <w:num w:numId="15">
    <w:abstractNumId w:val="14"/>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25"/>
  </w:num>
  <w:num w:numId="37">
    <w:abstractNumId w:val="2"/>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attachedTemplate r:id="rId1"/>
  <w:documentProtection w:edit="forms"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mFlOWJlNDE0ZTViNzAyNDYwODc3ZWNkMWE0NDA0NDIifQ=="/>
  </w:docVars>
  <w:rsids>
    <w:rsidRoot w:val="00172A27"/>
    <w:rsid w:val="0000225B"/>
    <w:rsid w:val="000074CB"/>
    <w:rsid w:val="00016DEF"/>
    <w:rsid w:val="0002523E"/>
    <w:rsid w:val="0003494A"/>
    <w:rsid w:val="00036C6B"/>
    <w:rsid w:val="00041CE3"/>
    <w:rsid w:val="0004400E"/>
    <w:rsid w:val="00060C68"/>
    <w:rsid w:val="0007142C"/>
    <w:rsid w:val="000A03E4"/>
    <w:rsid w:val="000A191B"/>
    <w:rsid w:val="000B0053"/>
    <w:rsid w:val="000B1CF9"/>
    <w:rsid w:val="000B1EBB"/>
    <w:rsid w:val="000B7915"/>
    <w:rsid w:val="000D706F"/>
    <w:rsid w:val="000E1225"/>
    <w:rsid w:val="000E251A"/>
    <w:rsid w:val="00102B1D"/>
    <w:rsid w:val="00104207"/>
    <w:rsid w:val="00106F8A"/>
    <w:rsid w:val="00111435"/>
    <w:rsid w:val="00130E15"/>
    <w:rsid w:val="0013535F"/>
    <w:rsid w:val="00152C9F"/>
    <w:rsid w:val="00156B28"/>
    <w:rsid w:val="00163E6B"/>
    <w:rsid w:val="0016452E"/>
    <w:rsid w:val="001645E5"/>
    <w:rsid w:val="00165A5F"/>
    <w:rsid w:val="0017046E"/>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10B24"/>
    <w:rsid w:val="00211131"/>
    <w:rsid w:val="00223672"/>
    <w:rsid w:val="00223734"/>
    <w:rsid w:val="002244F2"/>
    <w:rsid w:val="002256AF"/>
    <w:rsid w:val="002325B7"/>
    <w:rsid w:val="00237C4A"/>
    <w:rsid w:val="00242BAA"/>
    <w:rsid w:val="002470B8"/>
    <w:rsid w:val="002479C3"/>
    <w:rsid w:val="0027745F"/>
    <w:rsid w:val="002952E7"/>
    <w:rsid w:val="002A0433"/>
    <w:rsid w:val="002B065D"/>
    <w:rsid w:val="002B6E5C"/>
    <w:rsid w:val="002C1918"/>
    <w:rsid w:val="002D09F6"/>
    <w:rsid w:val="002D235A"/>
    <w:rsid w:val="002E15F9"/>
    <w:rsid w:val="002E6900"/>
    <w:rsid w:val="00307948"/>
    <w:rsid w:val="00320468"/>
    <w:rsid w:val="003228FE"/>
    <w:rsid w:val="00331D83"/>
    <w:rsid w:val="0034199E"/>
    <w:rsid w:val="0035187C"/>
    <w:rsid w:val="00361973"/>
    <w:rsid w:val="00367EA2"/>
    <w:rsid w:val="00370FFC"/>
    <w:rsid w:val="00375348"/>
    <w:rsid w:val="0038273A"/>
    <w:rsid w:val="00384A29"/>
    <w:rsid w:val="003A539B"/>
    <w:rsid w:val="003A7245"/>
    <w:rsid w:val="003B0D21"/>
    <w:rsid w:val="003B2DFE"/>
    <w:rsid w:val="003B3810"/>
    <w:rsid w:val="003B5FDA"/>
    <w:rsid w:val="003B6960"/>
    <w:rsid w:val="003B72A8"/>
    <w:rsid w:val="003D39F2"/>
    <w:rsid w:val="003E5AF8"/>
    <w:rsid w:val="003F047E"/>
    <w:rsid w:val="003F357F"/>
    <w:rsid w:val="003F5069"/>
    <w:rsid w:val="004039EF"/>
    <w:rsid w:val="00416162"/>
    <w:rsid w:val="00422904"/>
    <w:rsid w:val="00427991"/>
    <w:rsid w:val="004310E7"/>
    <w:rsid w:val="004316D0"/>
    <w:rsid w:val="00435D3F"/>
    <w:rsid w:val="0044304F"/>
    <w:rsid w:val="004431A1"/>
    <w:rsid w:val="004514C8"/>
    <w:rsid w:val="00451910"/>
    <w:rsid w:val="00451A6B"/>
    <w:rsid w:val="004532E9"/>
    <w:rsid w:val="00454783"/>
    <w:rsid w:val="00493C19"/>
    <w:rsid w:val="00494B69"/>
    <w:rsid w:val="00496C62"/>
    <w:rsid w:val="004A46C8"/>
    <w:rsid w:val="004B15EB"/>
    <w:rsid w:val="004C06C8"/>
    <w:rsid w:val="004C4787"/>
    <w:rsid w:val="004C4B64"/>
    <w:rsid w:val="004D66F1"/>
    <w:rsid w:val="004D6A45"/>
    <w:rsid w:val="004D704D"/>
    <w:rsid w:val="004E0BEC"/>
    <w:rsid w:val="004E2F89"/>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99D"/>
    <w:rsid w:val="00567FC0"/>
    <w:rsid w:val="005819B9"/>
    <w:rsid w:val="00581BD2"/>
    <w:rsid w:val="0058288B"/>
    <w:rsid w:val="00587CF5"/>
    <w:rsid w:val="005A3ADE"/>
    <w:rsid w:val="005A7AAD"/>
    <w:rsid w:val="005B0EBD"/>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4AE5"/>
    <w:rsid w:val="00671719"/>
    <w:rsid w:val="006743C1"/>
    <w:rsid w:val="00676A98"/>
    <w:rsid w:val="00681C0C"/>
    <w:rsid w:val="00684F88"/>
    <w:rsid w:val="00695C05"/>
    <w:rsid w:val="006A2B09"/>
    <w:rsid w:val="006A677E"/>
    <w:rsid w:val="006A718F"/>
    <w:rsid w:val="006B4663"/>
    <w:rsid w:val="006C103F"/>
    <w:rsid w:val="006C21C7"/>
    <w:rsid w:val="006C64B9"/>
    <w:rsid w:val="006C7B62"/>
    <w:rsid w:val="006E4BB6"/>
    <w:rsid w:val="006E4CDD"/>
    <w:rsid w:val="006E51ED"/>
    <w:rsid w:val="006E63CC"/>
    <w:rsid w:val="006F6194"/>
    <w:rsid w:val="00700EDD"/>
    <w:rsid w:val="00702CDC"/>
    <w:rsid w:val="00707360"/>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E0AA6"/>
    <w:rsid w:val="007E0BB7"/>
    <w:rsid w:val="007E1CB3"/>
    <w:rsid w:val="007E43C7"/>
    <w:rsid w:val="007E46A6"/>
    <w:rsid w:val="007E7822"/>
    <w:rsid w:val="007F219A"/>
    <w:rsid w:val="007F388A"/>
    <w:rsid w:val="007F3DDB"/>
    <w:rsid w:val="007F6D15"/>
    <w:rsid w:val="00816222"/>
    <w:rsid w:val="00826FEE"/>
    <w:rsid w:val="008625D8"/>
    <w:rsid w:val="008639A4"/>
    <w:rsid w:val="008665BF"/>
    <w:rsid w:val="008700BB"/>
    <w:rsid w:val="008757F6"/>
    <w:rsid w:val="00881607"/>
    <w:rsid w:val="008828B3"/>
    <w:rsid w:val="00883312"/>
    <w:rsid w:val="00883C1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1212F"/>
    <w:rsid w:val="009138EE"/>
    <w:rsid w:val="00925573"/>
    <w:rsid w:val="00926EF6"/>
    <w:rsid w:val="00940D7C"/>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3627"/>
    <w:rsid w:val="00A55ABC"/>
    <w:rsid w:val="00A6012C"/>
    <w:rsid w:val="00A630D8"/>
    <w:rsid w:val="00A649D3"/>
    <w:rsid w:val="00A661D7"/>
    <w:rsid w:val="00A720AA"/>
    <w:rsid w:val="00A753E0"/>
    <w:rsid w:val="00A852DE"/>
    <w:rsid w:val="00A967BC"/>
    <w:rsid w:val="00AB38E1"/>
    <w:rsid w:val="00AD19B0"/>
    <w:rsid w:val="00AD7757"/>
    <w:rsid w:val="00AE4F4F"/>
    <w:rsid w:val="00AE6EBA"/>
    <w:rsid w:val="00AF7962"/>
    <w:rsid w:val="00B015B4"/>
    <w:rsid w:val="00B06516"/>
    <w:rsid w:val="00B1085F"/>
    <w:rsid w:val="00B122E9"/>
    <w:rsid w:val="00B23C5F"/>
    <w:rsid w:val="00B23E6A"/>
    <w:rsid w:val="00B35785"/>
    <w:rsid w:val="00B42EBD"/>
    <w:rsid w:val="00B52F4D"/>
    <w:rsid w:val="00B56811"/>
    <w:rsid w:val="00B57765"/>
    <w:rsid w:val="00B6032F"/>
    <w:rsid w:val="00B728F3"/>
    <w:rsid w:val="00B77569"/>
    <w:rsid w:val="00B9230B"/>
    <w:rsid w:val="00BB0B22"/>
    <w:rsid w:val="00BB350D"/>
    <w:rsid w:val="00BB66A3"/>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5C4E"/>
    <w:rsid w:val="00D81A70"/>
    <w:rsid w:val="00D849A7"/>
    <w:rsid w:val="00D92EDE"/>
    <w:rsid w:val="00DA3FA9"/>
    <w:rsid w:val="00DB2635"/>
    <w:rsid w:val="00DB5D8B"/>
    <w:rsid w:val="00DB735D"/>
    <w:rsid w:val="00DC4D62"/>
    <w:rsid w:val="00DD29BD"/>
    <w:rsid w:val="00DE27A1"/>
    <w:rsid w:val="00DE3A2C"/>
    <w:rsid w:val="00DE4189"/>
    <w:rsid w:val="00DE572F"/>
    <w:rsid w:val="00DE5CC6"/>
    <w:rsid w:val="00DF4E0D"/>
    <w:rsid w:val="00E02B43"/>
    <w:rsid w:val="00E02B7C"/>
    <w:rsid w:val="00E1035F"/>
    <w:rsid w:val="00E10BDC"/>
    <w:rsid w:val="00E15330"/>
    <w:rsid w:val="00E20D39"/>
    <w:rsid w:val="00E2281C"/>
    <w:rsid w:val="00E37956"/>
    <w:rsid w:val="00E43308"/>
    <w:rsid w:val="00E63ACF"/>
    <w:rsid w:val="00E63DF1"/>
    <w:rsid w:val="00E63F14"/>
    <w:rsid w:val="00E64867"/>
    <w:rsid w:val="00E85C02"/>
    <w:rsid w:val="00E925FC"/>
    <w:rsid w:val="00EA601B"/>
    <w:rsid w:val="00EB6780"/>
    <w:rsid w:val="00EC4B8A"/>
    <w:rsid w:val="00ED2623"/>
    <w:rsid w:val="00ED71EA"/>
    <w:rsid w:val="00ED7EE4"/>
    <w:rsid w:val="00EF07DF"/>
    <w:rsid w:val="00F32D6F"/>
    <w:rsid w:val="00F34E58"/>
    <w:rsid w:val="00F35C42"/>
    <w:rsid w:val="00F35EA2"/>
    <w:rsid w:val="00F5506D"/>
    <w:rsid w:val="00F62A37"/>
    <w:rsid w:val="00F659C2"/>
    <w:rsid w:val="00F661B5"/>
    <w:rsid w:val="00F81D67"/>
    <w:rsid w:val="00F85512"/>
    <w:rsid w:val="00F94B26"/>
    <w:rsid w:val="00FA581E"/>
    <w:rsid w:val="00FB0DC4"/>
    <w:rsid w:val="00FD0659"/>
    <w:rsid w:val="00FD1AE6"/>
    <w:rsid w:val="00FD4172"/>
    <w:rsid w:val="00FD4749"/>
    <w:rsid w:val="00FD73AF"/>
    <w:rsid w:val="00FE0A8D"/>
    <w:rsid w:val="00FE6091"/>
    <w:rsid w:val="00FF2484"/>
    <w:rsid w:val="00FF6507"/>
    <w:rsid w:val="01560D55"/>
    <w:rsid w:val="01FB1F32"/>
    <w:rsid w:val="022F10A0"/>
    <w:rsid w:val="02C57AC3"/>
    <w:rsid w:val="03710FFC"/>
    <w:rsid w:val="038269B5"/>
    <w:rsid w:val="04CD156A"/>
    <w:rsid w:val="05E21D7D"/>
    <w:rsid w:val="060615E0"/>
    <w:rsid w:val="07EB4709"/>
    <w:rsid w:val="09AC6127"/>
    <w:rsid w:val="0A7B766E"/>
    <w:rsid w:val="0B7A25E3"/>
    <w:rsid w:val="0D50393C"/>
    <w:rsid w:val="0F0043BB"/>
    <w:rsid w:val="105435D8"/>
    <w:rsid w:val="13842138"/>
    <w:rsid w:val="155D0FAE"/>
    <w:rsid w:val="15DD3C7D"/>
    <w:rsid w:val="17E31C97"/>
    <w:rsid w:val="194950A1"/>
    <w:rsid w:val="1AE17164"/>
    <w:rsid w:val="1B8B2D6E"/>
    <w:rsid w:val="1D4B4659"/>
    <w:rsid w:val="1DA941EB"/>
    <w:rsid w:val="21AE43C0"/>
    <w:rsid w:val="24A25592"/>
    <w:rsid w:val="24B6088C"/>
    <w:rsid w:val="27660D0E"/>
    <w:rsid w:val="28FB441D"/>
    <w:rsid w:val="29526849"/>
    <w:rsid w:val="29E37A3B"/>
    <w:rsid w:val="2A49017D"/>
    <w:rsid w:val="2CF11704"/>
    <w:rsid w:val="2D45719C"/>
    <w:rsid w:val="2DEC75F3"/>
    <w:rsid w:val="2E0B2CD2"/>
    <w:rsid w:val="2E93070A"/>
    <w:rsid w:val="30E90FE8"/>
    <w:rsid w:val="32406CA4"/>
    <w:rsid w:val="32C55323"/>
    <w:rsid w:val="35892A55"/>
    <w:rsid w:val="366571B0"/>
    <w:rsid w:val="38C9543A"/>
    <w:rsid w:val="3A4C12C1"/>
    <w:rsid w:val="3BA24BB0"/>
    <w:rsid w:val="3C0E19F9"/>
    <w:rsid w:val="3EDA4CA7"/>
    <w:rsid w:val="3F246D23"/>
    <w:rsid w:val="3FCB3B1C"/>
    <w:rsid w:val="3FF86290"/>
    <w:rsid w:val="42BE4943"/>
    <w:rsid w:val="433D1B9E"/>
    <w:rsid w:val="44421B2F"/>
    <w:rsid w:val="45111D82"/>
    <w:rsid w:val="45603B71"/>
    <w:rsid w:val="45911582"/>
    <w:rsid w:val="4655665E"/>
    <w:rsid w:val="476B1B0C"/>
    <w:rsid w:val="481B099C"/>
    <w:rsid w:val="48B861CE"/>
    <w:rsid w:val="4ACA4F6B"/>
    <w:rsid w:val="4D2F2C43"/>
    <w:rsid w:val="50B01C04"/>
    <w:rsid w:val="50DD7DA0"/>
    <w:rsid w:val="510826B2"/>
    <w:rsid w:val="52EC289B"/>
    <w:rsid w:val="57B974E6"/>
    <w:rsid w:val="5A726ACA"/>
    <w:rsid w:val="5A8903AA"/>
    <w:rsid w:val="5BA072DA"/>
    <w:rsid w:val="5BCE6A5B"/>
    <w:rsid w:val="5BE91D19"/>
    <w:rsid w:val="5CEF711D"/>
    <w:rsid w:val="5D1D4D55"/>
    <w:rsid w:val="5D8C0A23"/>
    <w:rsid w:val="5E7332FD"/>
    <w:rsid w:val="62C16DB1"/>
    <w:rsid w:val="64EA430A"/>
    <w:rsid w:val="68AD3C29"/>
    <w:rsid w:val="6AA42BAD"/>
    <w:rsid w:val="6BB97DF1"/>
    <w:rsid w:val="6BE12EF7"/>
    <w:rsid w:val="6C361A89"/>
    <w:rsid w:val="6C6A476A"/>
    <w:rsid w:val="6CFB1020"/>
    <w:rsid w:val="6E05628E"/>
    <w:rsid w:val="6EB06FA0"/>
    <w:rsid w:val="6EF91A83"/>
    <w:rsid w:val="71D702F4"/>
    <w:rsid w:val="71E47495"/>
    <w:rsid w:val="73277265"/>
    <w:rsid w:val="73417A25"/>
    <w:rsid w:val="73E23960"/>
    <w:rsid w:val="75A748C0"/>
    <w:rsid w:val="75F93249"/>
    <w:rsid w:val="78E860BE"/>
    <w:rsid w:val="7A5C4717"/>
    <w:rsid w:val="7B69328D"/>
    <w:rsid w:val="7C1927D1"/>
    <w:rsid w:val="7D213B6C"/>
    <w:rsid w:val="7DCF3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rFonts w:ascii="Times New Roman" w:hAnsi="Times New Roman" w:cs="Times New Roman"/>
      <w:sz w:val="24"/>
      <w:szCs w:val="20"/>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38</Pages>
  <Words>28529</Words>
  <Characters>29580</Characters>
  <Lines>121</Lines>
  <Paragraphs>34</Paragraphs>
  <TotalTime>0</TotalTime>
  <ScaleCrop>false</ScaleCrop>
  <LinksUpToDate>false</LinksUpToDate>
  <CharactersWithSpaces>29867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喵了个咪</cp:lastModifiedBy>
  <cp:lastPrinted>2020-04-15T04:53:00Z</cp:lastPrinted>
  <dcterms:modified xsi:type="dcterms:W3CDTF">2022-05-19T09:13:41Z</dcterms:modified>
  <dc:title>“幸福99”双季添益银行理财计划风险揭示书</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E400B04DAF114B0F919F4420F912E62C</vt:lpwstr>
  </property>
</Properties>
</file>