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您应仔细阅读理财计划风险揭示书、理财计划产品说明书、投资者权益须知、理财计划投资协议书、理财计划销售协议书全部条款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 xml:space="preserve"> 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 xml:space="preserve"> 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 xml:space="preserve">  (八) 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（本风险等级为我公司内部风险评级结果，仅供参考，我公司不对前述风险评级结果的准确性做出任何形式的保证，也不承担任何法律责任）；</w:t>
      </w:r>
      <w:r>
        <w:rPr>
          <w:rFonts w:hint="eastAsia" w:ascii="宋体" w:hAnsi="Times New Roman" w:cs="宋体"/>
          <w:bCs/>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5670" w:firstLineChars="2700"/>
        <w:jc w:val="left"/>
        <w:rPr>
          <w:rFonts w:ascii="宋体" w:hAnsi="宋体"/>
          <w:b/>
        </w:rPr>
      </w:pPr>
      <w:r>
        <w:rPr>
          <w:rFonts w:hint="eastAsia" w:ascii="宋体" w:hAnsi="宋体" w:cs="宋体"/>
          <w:kern w:val="0"/>
        </w:rPr>
        <w:t>风险提示方： 杭银理财有限责任公司</w:t>
      </w: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ind w:firstLine="2951" w:firstLineChars="1400"/>
        <w:jc w:val="left"/>
        <w:rPr>
          <w:rFonts w:ascii="宋体" w:hAnsi="宋体"/>
          <w:b/>
        </w:rPr>
      </w:pPr>
    </w:p>
    <w:p>
      <w:pPr>
        <w:autoSpaceDE w:val="0"/>
        <w:autoSpaceDN w:val="0"/>
        <w:adjustRightInd w:val="0"/>
        <w:spacing w:line="360" w:lineRule="auto"/>
        <w:ind w:firstLine="2940" w:firstLineChars="1400"/>
        <w:jc w:val="left"/>
        <w:rPr>
          <w:rFonts w:ascii="宋体" w:hAnsi="宋体" w:cs="宋体"/>
          <w:kern w:val="0"/>
        </w:rPr>
      </w:pPr>
    </w:p>
    <w:p>
      <w:pPr>
        <w:autoSpaceDE w:val="0"/>
        <w:autoSpaceDN w:val="0"/>
        <w:adjustRightInd w:val="0"/>
        <w:spacing w:line="360" w:lineRule="auto"/>
        <w:ind w:firstLine="2940" w:firstLineChars="1400"/>
        <w:jc w:val="right"/>
        <w:rPr>
          <w:rFonts w:ascii="宋体" w:hAnsi="宋体" w:cs="宋体"/>
          <w:kern w:val="0"/>
        </w:rPr>
      </w:pPr>
    </w:p>
    <w:p>
      <w:pPr>
        <w:pStyle w:val="30"/>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0"/>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0"/>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0"/>
        <w:jc w:val="both"/>
        <w:rPr>
          <w:rFonts w:ascii="宋体" w:hAnsi="宋体"/>
          <w:b/>
          <w:bCs/>
          <w:color w:val="auto"/>
          <w:sz w:val="21"/>
          <w:szCs w:val="21"/>
        </w:rPr>
      </w:pPr>
      <w:r>
        <w:rPr>
          <w:rFonts w:hint="eastAsia" w:ascii="宋体" w:hAnsi="宋体"/>
          <w:b/>
          <w:bCs/>
          <w:color w:val="auto"/>
          <w:sz w:val="21"/>
          <w:szCs w:val="21"/>
        </w:rPr>
        <w:t>声明：本人已充分阅读《投资者权益须知》、《杭银理财幸福99半年添益理财计划产品说明书》及本风险揭示书，并已对其作全面、准确的理解，充分认识到投资本理财产品要求承担的风险，并自愿承担此风险。</w:t>
      </w:r>
    </w:p>
    <w:p>
      <w:pPr>
        <w:pStyle w:val="30"/>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0"/>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w:t>
      </w:r>
    </w:p>
    <w:p>
      <w:pPr>
        <w:pStyle w:val="30"/>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p>
    <w:p>
      <w:pPr>
        <w:pStyle w:val="30"/>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0"/>
        <w:jc w:val="both"/>
        <w:rPr>
          <w:rFonts w:ascii="宋体" w:hAnsi="宋体"/>
          <w:b/>
          <w:bCs/>
          <w:color w:val="auto"/>
          <w:sz w:val="21"/>
          <w:szCs w:val="21"/>
        </w:rPr>
      </w:pPr>
      <w:r>
        <w:rPr>
          <w:rFonts w:hint="eastAsia" w:ascii="宋体" w:hAnsi="宋体"/>
          <w:b/>
          <w:bCs/>
          <w:color w:val="auto"/>
          <w:sz w:val="21"/>
          <w:szCs w:val="21"/>
        </w:rPr>
        <w:t>声明：我单位已充分阅读《投资者权益须知》、《杭银理财幸福99半年添益理财计划产品说明书》及本风险揭示书，并已对其作全面、准确的理解，充分认识到投资本理财产品要求承担的风险，并自愿承担此风险。</w:t>
      </w:r>
    </w:p>
    <w:p>
      <w:pPr>
        <w:widowControl/>
        <w:contextualSpacing/>
        <w:outlineLvl w:val="0"/>
        <w:rPr>
          <w:rFonts w:ascii="宋体" w:hAnsi="宋体"/>
        </w:rPr>
      </w:pPr>
    </w:p>
    <w:p>
      <w:pPr>
        <w:pStyle w:val="30"/>
        <w:jc w:val="both"/>
        <w:rPr>
          <w:rFonts w:ascii="宋体" w:hAnsi="宋体"/>
          <w:color w:val="auto"/>
          <w:sz w:val="21"/>
          <w:szCs w:val="21"/>
        </w:rPr>
      </w:pPr>
    </w:p>
    <w:p>
      <w:pPr>
        <w:pStyle w:val="30"/>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ind w:firstLine="6405" w:firstLineChars="3050"/>
        <w:jc w:val="both"/>
        <w:rPr>
          <w:rFonts w:ascii="宋体" w:hAnsi="宋体"/>
          <w:color w:val="auto"/>
          <w:sz w:val="21"/>
          <w:szCs w:val="21"/>
        </w:rPr>
      </w:pPr>
      <w:r>
        <w:rPr>
          <w:rFonts w:hint="eastAsia" w:ascii="宋体" w:hAnsi="宋体"/>
          <w:color w:val="auto"/>
          <w:sz w:val="21"/>
          <w:szCs w:val="21"/>
        </w:rPr>
        <w:t>日期：  年  月  日</w:t>
      </w: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pStyle w:val="30"/>
        <w:jc w:val="both"/>
        <w:rPr>
          <w:rFonts w:ascii="宋体" w:hAnsi="宋体"/>
          <w:color w:val="auto"/>
          <w:sz w:val="21"/>
          <w:szCs w:val="21"/>
        </w:rPr>
      </w:pPr>
    </w:p>
    <w:p>
      <w:pPr>
        <w:rPr>
          <w:rFonts w:ascii="宋体" w:hAnsi="宋体" w:cs="宋体"/>
          <w:kern w:val="0"/>
        </w:rPr>
      </w:pPr>
    </w:p>
    <w:p>
      <w:pPr>
        <w:rPr>
          <w:rFonts w:ascii="宋体" w:hAnsi="宋体" w:cs="宋体"/>
          <w:kern w:val="0"/>
        </w:rPr>
      </w:pPr>
    </w:p>
    <w:p>
      <w:pPr>
        <w:spacing w:line="520" w:lineRule="exact"/>
        <w:jc w:val="center"/>
        <w:rPr>
          <w:rFonts w:cs="Times New Roman"/>
          <w:b/>
          <w:bCs/>
          <w:sz w:val="32"/>
          <w:szCs w:val="32"/>
        </w:rPr>
      </w:pPr>
      <w:r>
        <w:rPr>
          <w:rFonts w:hint="eastAsia" w:cs="宋体"/>
          <w:b/>
          <w:bCs/>
          <w:sz w:val="32"/>
          <w:szCs w:val="32"/>
        </w:rPr>
        <w:t>杭银理财幸福</w:t>
      </w:r>
      <w:r>
        <w:rPr>
          <w:b/>
          <w:bCs/>
          <w:sz w:val="32"/>
          <w:szCs w:val="32"/>
        </w:rPr>
        <w:t>99半年</w:t>
      </w:r>
      <w:r>
        <w:rPr>
          <w:rFonts w:hint="eastAsia" w:cs="宋体"/>
          <w:b/>
          <w:bCs/>
          <w:sz w:val="32"/>
          <w:szCs w:val="32"/>
        </w:rPr>
        <w:t>添益1801期理财计划产品说明书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w:t>
      </w:r>
      <w:r>
        <w:rPr>
          <w:rFonts w:ascii="宋体" w:hAnsi="Wingdings" w:cs="宋体"/>
          <w:color w:val="000000"/>
          <w:kern w:val="0"/>
        </w:rPr>
        <w:t>Z7002221000165</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0"/>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杭银理财幸福</w:t>
      </w:r>
      <w:r>
        <w:rPr>
          <w:rFonts w:ascii="宋体" w:cs="宋体"/>
          <w:sz w:val="21"/>
          <w:szCs w:val="21"/>
        </w:rPr>
        <w:t>99</w:t>
      </w:r>
      <w:r>
        <w:rPr>
          <w:rFonts w:hint="eastAsia" w:ascii="宋体" w:cs="宋体"/>
          <w:sz w:val="21"/>
          <w:szCs w:val="21"/>
        </w:rPr>
        <w:t>添益系列理财计划风险揭示书》、《投资者权益须知》，将共同构成投资者与管理人之间的理财计划合同。</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6.  投资者在认购本产品后，应随时关注本产品的信息披露情况，及时获取相关信息。如对本产品有任何疑问、异议或意见，请联系管理人或销售机构。</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投资者承诺其用于认购理财计划的资金来源合法合规，不存在使用贷款、发行债券等筹集的非自有资金投资本理财产品的情形。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0"/>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杭银理财幸福99半年添益1801期理财计划</w:t>
      </w:r>
      <w:bookmarkEnd w:id="0"/>
      <w:r>
        <w:rPr>
          <w:rFonts w:hint="eastAsia" w:ascii="宋体" w:hAnsi="宋体" w:cs="宋体"/>
          <w:sz w:val="21"/>
          <w:szCs w:val="21"/>
        </w:rPr>
        <w:t>。</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Style w:val="16"/>
          <w:rFonts w:hint="eastAsia" w:ascii="宋体" w:hAnsi="宋体"/>
          <w:sz w:val="21"/>
          <w:szCs w:val="21"/>
        </w:rPr>
        <w:fldChar w:fldCharType="end"/>
      </w:r>
      <w:r>
        <w:rPr>
          <w:rFonts w:hint="eastAsia" w:ascii="宋体" w:hAnsi="宋体" w:cs="宋体"/>
          <w:sz w:val="21"/>
          <w:szCs w:val="21"/>
        </w:rPr>
        <w:t>。</w:t>
      </w:r>
    </w:p>
    <w:tbl>
      <w:tblPr>
        <w:tblStyle w:val="13"/>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2937"/>
        <w:gridCol w:w="1370"/>
        <w:gridCol w:w="3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销售机构信息</w:t>
            </w:r>
          </w:p>
        </w:tc>
        <w:tc>
          <w:tcPr>
            <w:tcW w:w="29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杭州银行股份有限公司</w:t>
            </w: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住所</w:t>
            </w:r>
          </w:p>
        </w:tc>
        <w:tc>
          <w:tcPr>
            <w:tcW w:w="38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left"/>
              <w:rPr>
                <w:rFonts w:ascii="宋体" w:hAnsi="宋体" w:cs="宋体"/>
                <w:bCs/>
              </w:rPr>
            </w:pPr>
            <w:r>
              <w:rPr>
                <w:rFonts w:hint="eastAsia" w:ascii="宋体" w:hAnsi="宋体" w:cs="宋体"/>
                <w:bCs/>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Cs w:val="22"/>
              </w:rPr>
            </w:pPr>
          </w:p>
        </w:tc>
        <w:tc>
          <w:tcPr>
            <w:tcW w:w="293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Cs w:val="22"/>
              </w:rPr>
            </w:pPr>
          </w:p>
        </w:tc>
        <w:tc>
          <w:tcPr>
            <w:tcW w:w="13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客服热线</w:t>
            </w:r>
          </w:p>
        </w:tc>
        <w:tc>
          <w:tcPr>
            <w:tcW w:w="38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销售机构职责</w:t>
            </w:r>
          </w:p>
        </w:tc>
        <w:tc>
          <w:tcPr>
            <w:tcW w:w="8115" w:type="dxa"/>
            <w:gridSpan w:val="3"/>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宋体" w:hAnsi="宋体" w:cs="宋体"/>
                <w:bCs/>
              </w:rPr>
            </w:pPr>
            <w:r>
              <w:rPr>
                <w:rFonts w:hint="eastAsia" w:ascii="宋体" w:hAnsi="宋体" w:cs="宋体"/>
                <w:bCs/>
              </w:rPr>
              <w:t>主要负责理财计划推广、投资者风险承受能力评估、投资者适当性管理、理财计划份额认购、申购及赎回办理。</w:t>
            </w:r>
          </w:p>
          <w:p>
            <w:pPr>
              <w:spacing w:line="360" w:lineRule="auto"/>
              <w:jc w:val="left"/>
              <w:rPr>
                <w:rFonts w:ascii="宋体" w:hAnsi="宋体" w:cs="宋体"/>
                <w:bCs/>
              </w:rPr>
            </w:pPr>
            <w:r>
              <w:rPr>
                <w:rFonts w:hint="eastAsia" w:ascii="宋体" w:hAnsi="宋体" w:cs="宋体"/>
                <w:bCs/>
              </w:rPr>
              <w:t>协助管理人负责与投资者签订理财计划合同、与投资者沟通及进行信息披露、接受投资者咨询和客户维护等销售服务。</w:t>
            </w:r>
          </w:p>
        </w:tc>
      </w:tr>
    </w:tbl>
    <w:p>
      <w:pPr>
        <w:pStyle w:val="30"/>
        <w:adjustRightInd/>
        <w:spacing w:line="520" w:lineRule="exact"/>
        <w:ind w:firstLine="420" w:firstLineChars="200"/>
        <w:rPr>
          <w:rFonts w:ascii="宋体" w:hAnsi="宋体" w:cs="宋体"/>
          <w:sz w:val="21"/>
          <w:szCs w:val="21"/>
        </w:rPr>
      </w:pPr>
      <w:r>
        <w:rPr>
          <w:rFonts w:hint="eastAsia" w:ascii="宋体" w:hAnsi="宋体" w:cs="宋体"/>
          <w:sz w:val="21"/>
          <w:szCs w:val="21"/>
        </w:rPr>
        <w:t>产品托管人：指杭州银行股份有限公司。</w:t>
      </w:r>
    </w:p>
    <w:tbl>
      <w:tblPr>
        <w:tblStyle w:val="13"/>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9"/>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托管人名称</w:t>
            </w:r>
          </w:p>
        </w:tc>
        <w:tc>
          <w:tcPr>
            <w:tcW w:w="711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宋体" w:hAnsi="宋体" w:cs="宋体"/>
                <w:bCs/>
              </w:rPr>
            </w:pPr>
            <w:r>
              <w:rPr>
                <w:rFonts w:hint="eastAsia" w:ascii="宋体" w:hAnsi="宋体" w:cs="宋体"/>
                <w:bCs/>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托管人住所</w:t>
            </w:r>
          </w:p>
        </w:tc>
        <w:tc>
          <w:tcPr>
            <w:tcW w:w="711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宋体" w:hAnsi="宋体" w:cs="宋体"/>
                <w:bCs/>
              </w:rPr>
            </w:pPr>
            <w:r>
              <w:rPr>
                <w:rFonts w:hint="eastAsia" w:ascii="宋体" w:hAnsi="宋体" w:cs="宋体"/>
                <w:bCs/>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cs="宋体"/>
                <w:bCs/>
              </w:rPr>
            </w:pPr>
            <w:r>
              <w:rPr>
                <w:rFonts w:hint="eastAsia" w:ascii="宋体" w:hAnsi="宋体" w:cs="宋体"/>
                <w:bCs/>
              </w:rPr>
              <w:t>托管人职责</w:t>
            </w:r>
          </w:p>
        </w:tc>
        <w:tc>
          <w:tcPr>
            <w:tcW w:w="711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left"/>
              <w:rPr>
                <w:rFonts w:ascii="宋体" w:hAnsi="宋体" w:cs="宋体"/>
                <w:bCs/>
              </w:rPr>
            </w:pPr>
            <w:r>
              <w:rPr>
                <w:rFonts w:hint="eastAsia" w:ascii="宋体" w:hAnsi="宋体" w:cs="宋体"/>
                <w:bCs/>
              </w:rPr>
              <w:t>主要提供包括账户开立、资金保管、资金结算、估值核对等理财产品托管服务。</w:t>
            </w: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确认日：本理财产品确认日指本产品每次开放期结束后的第一个工作日。</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工作日：除双休日和国家法定假日外的法定工作日。</w:t>
      </w:r>
    </w:p>
    <w:p>
      <w:pPr>
        <w:pStyle w:val="30"/>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投资周期：本理财产品第一个投资周期是指产品成立日（含）至第一个产品确认日（不含）之间的时间，其后每个投资周期是指确认日（含）至下一个确认日（不含）之间的时间。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0"/>
        <w:spacing w:line="360" w:lineRule="auto"/>
        <w:rPr>
          <w:rFonts w:ascii="宋体" w:eastAsia="Times New Roman" w:cs="Times New Roman"/>
          <w:sz w:val="22"/>
          <w:szCs w:val="22"/>
        </w:rPr>
      </w:pPr>
      <w:r>
        <w:drawing>
          <wp:inline distT="0" distB="0" distL="0" distR="0">
            <wp:extent cx="528066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81118" cy="2651990"/>
                    </a:xfrm>
                    <a:prstGeom prst="rect">
                      <a:avLst/>
                    </a:prstGeom>
                  </pic:spPr>
                </pic:pic>
              </a:graphicData>
            </a:graphic>
          </wp:inline>
        </w:drawing>
      </w:r>
    </w:p>
    <w:p>
      <w:pPr>
        <w:pStyle w:val="30"/>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w:t>
            </w:r>
            <w:r>
              <w:rPr>
                <w:rFonts w:ascii="宋体" w:hAnsi="宋体" w:cs="宋体"/>
                <w:color w:val="000000"/>
                <w:kern w:val="0"/>
              </w:rPr>
              <w:t>99</w:t>
            </w:r>
            <w:r>
              <w:rPr>
                <w:rFonts w:hint="eastAsia" w:ascii="宋体" w:hAnsi="宋体" w:cs="宋体"/>
                <w:color w:val="000000"/>
                <w:kern w:val="0"/>
              </w:rPr>
              <w:t>半年添益1801期理财计划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6M1801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该产品在全国银行业理财信息登记系统的原登记编码是</w:t>
            </w:r>
            <w:r>
              <w:rPr>
                <w:rFonts w:ascii="宋体" w:hAnsi="宋体" w:cs="宋体"/>
                <w:color w:val="000000"/>
                <w:kern w:val="0"/>
              </w:rPr>
              <w:t>C109201</w:t>
            </w:r>
            <w:r>
              <w:rPr>
                <w:rFonts w:hint="eastAsia" w:ascii="宋体" w:hAnsi="宋体" w:cs="宋体"/>
                <w:color w:val="000000"/>
                <w:kern w:val="0"/>
              </w:rPr>
              <w:t>8001148，</w:t>
            </w:r>
            <w:r>
              <w:rPr>
                <w:rFonts w:hint="eastAsia" w:ascii="宋体" w:hAnsi="宋体" w:cs="宋体"/>
              </w:rPr>
              <w:t>变更登记后为〖</w:t>
            </w:r>
            <w:r>
              <w:rPr>
                <w:rFonts w:ascii="宋体" w:hAnsi="宋体" w:cs="宋体"/>
              </w:rPr>
              <w:t>Z7002221000165</w:t>
            </w:r>
            <w:r>
              <w:rPr>
                <w:rFonts w:hint="eastAsia" w:ascii="宋体" w:hAnsi="宋体" w:cs="宋体"/>
              </w:rPr>
              <w:t>〗。</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规模下限为0.2亿元，产品规模上限在每个开放期进行调整，首次认购期规模上限为10亿元。若认购金额未达规模下限则管理人有权决定产品不成立，若认购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2018年9月5日至2018年9月13日。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2018年9月14日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产品每半年开放一次。开放期为产品确认日前5-7个工作日，具体开放时间以公告为准，开放期公告将通过管理人或者销售机构网站发布。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首次开放期为2019年3月5日至2019年3月13日，首个确认日为2019年3月14日。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2.本产品在每个开放期的工作时间都可以进行申购和赎回，申购和赎回申请将在本次开放期后的第一个确认日确认。</w:t>
            </w:r>
          </w:p>
          <w:p>
            <w:pPr>
              <w:rPr>
                <w:rFonts w:ascii="宋体" w:hAnsi="宋体" w:cs="宋体"/>
                <w:color w:val="000000"/>
                <w:kern w:val="0"/>
              </w:rPr>
            </w:pPr>
            <w:r>
              <w:rPr>
                <w:rFonts w:hint="eastAsia" w:ascii="宋体" w:hAnsi="宋体" w:cs="宋体"/>
                <w:color w:val="000000"/>
                <w:kern w:val="0"/>
              </w:rPr>
              <w:t>3.认购</w:t>
            </w:r>
            <w:r>
              <w:rPr>
                <w:rFonts w:ascii="宋体" w:hAnsi="宋体" w:cs="宋体"/>
                <w:color w:val="000000"/>
                <w:kern w:val="0"/>
              </w:rPr>
              <w:t>/</w:t>
            </w:r>
            <w:r>
              <w:rPr>
                <w:rFonts w:hint="eastAsia" w:ascii="宋体" w:hAnsi="宋体" w:cs="宋体"/>
                <w:color w:val="000000"/>
                <w:kern w:val="0"/>
              </w:rPr>
              <w:t>申购/开放期内提交的交易申请，在产品成立日</w:t>
            </w:r>
            <w:r>
              <w:rPr>
                <w:rFonts w:ascii="宋体" w:hAnsi="宋体" w:cs="宋体"/>
                <w:color w:val="000000"/>
                <w:kern w:val="0"/>
              </w:rPr>
              <w:t>/</w:t>
            </w:r>
            <w:r>
              <w:rPr>
                <w:rFonts w:hint="eastAsia" w:ascii="宋体" w:hAnsi="宋体" w:cs="宋体"/>
                <w:color w:val="000000"/>
                <w:kern w:val="0"/>
              </w:rPr>
              <w:t xml:space="preserve"> 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rPr>
              <w:t>本理财产品首期业绩比较基准为人民</w:t>
            </w:r>
            <w:r>
              <w:rPr>
                <w:rFonts w:ascii="宋体" w:hAnsi="宋体" w:cs="宋体"/>
                <w:color w:val="000000"/>
                <w:kern w:val="0"/>
              </w:rPr>
              <w:t>银行一年期存款基准利率</w:t>
            </w:r>
            <w:r>
              <w:rPr>
                <w:rFonts w:hint="eastAsia" w:ascii="宋体" w:hAnsi="宋体" w:cs="宋体"/>
                <w:color w:val="000000"/>
                <w:kern w:val="0"/>
              </w:rPr>
              <w:t>+3.3%。</w:t>
            </w:r>
          </w:p>
          <w:p>
            <w:pPr>
              <w:rPr>
                <w:rFonts w:ascii="宋体" w:hAnsi="宋体" w:cs="宋体"/>
                <w:color w:val="000000"/>
                <w:kern w:val="0"/>
              </w:rPr>
            </w:pPr>
            <w:r>
              <w:rPr>
                <w:rFonts w:hint="eastAsia" w:ascii="宋体" w:hAnsi="宋体" w:cs="宋体"/>
                <w:color w:val="000000"/>
                <w:kern w:val="0"/>
              </w:rPr>
              <w:t>管理人有权于确认日前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ascii="宋体" w:hAnsi="宋体" w:cs="宋体"/>
                <w:color w:val="000000"/>
                <w:kern w:val="0"/>
              </w:rPr>
            </w:pPr>
            <w:r>
              <w:rPr>
                <w:rFonts w:hint="eastAsia" w:ascii="宋体" w:hAnsi="宋体" w:cs="宋体"/>
                <w:color w:val="000000"/>
                <w:kern w:val="0"/>
              </w:rPr>
              <w:t>本产品为净值型理财产品，没有预期收益率。管理人提醒投资者关注，业绩比较基准并不代表实际收益率。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份的价格认购本理财产品，投资者首次购买的最低金额为1元，超出部分应为1元的整数倍。</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．产品按份额赎回，投资者可选择全额或部分赎回，申请部分赎回的，部分赎回后剩余份额应不小于1份，否则赎回不成功。</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确认日的单位净值。</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．赎回金额</w:t>
            </w:r>
            <w:r>
              <w:rPr>
                <w:rFonts w:ascii="宋体" w:hAnsi="宋体" w:cs="宋体"/>
                <w:color w:val="000000"/>
                <w:kern w:val="0"/>
              </w:rPr>
              <w:t>=</w:t>
            </w:r>
            <w:r>
              <w:rPr>
                <w:rFonts w:hint="eastAsia" w:ascii="宋体" w:hAnsi="宋体" w:cs="宋体"/>
                <w:color w:val="000000"/>
                <w:kern w:val="0"/>
              </w:rPr>
              <w:t>赎回份额×确认日的单位净值。</w:t>
            </w:r>
          </w:p>
          <w:p>
            <w:pPr>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．单户最高存续份额为1亿份。</w:t>
            </w:r>
          </w:p>
          <w:p>
            <w:pPr>
              <w:rPr>
                <w:rFonts w:ascii="宋体" w:hAnsi="宋体" w:cs="宋体"/>
                <w:color w:val="000000"/>
                <w:kern w:val="0"/>
              </w:rPr>
            </w:pPr>
            <w:r>
              <w:rPr>
                <w:rFonts w:ascii="宋体" w:hAnsi="宋体" w:cs="宋体"/>
                <w:color w:val="000000"/>
                <w:kern w:val="0"/>
              </w:rPr>
              <w:t>6</w:t>
            </w:r>
            <w:r>
              <w:rPr>
                <w:rFonts w:hint="eastAsia" w:ascii="宋体" w:hAnsi="宋体" w:cs="宋体"/>
                <w:color w:val="000000"/>
                <w:kern w:val="0"/>
              </w:rPr>
              <w:t>．理财产品存续期内，若理财产品当日净赎回申请份额超过本理财产品上一日日终产品总份额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1．销售手续费。本产品管理人收取年化0</w:t>
            </w:r>
            <w:r>
              <w:rPr>
                <w:rFonts w:ascii="宋体" w:hAnsi="宋体" w:cs="宋体"/>
                <w:color w:val="000000"/>
                <w:kern w:val="0"/>
              </w:rPr>
              <w:t>%</w:t>
            </w:r>
            <w:r>
              <w:rPr>
                <w:rFonts w:hint="eastAsia" w:ascii="宋体" w:hAnsi="宋体" w:cs="宋体"/>
                <w:color w:val="000000"/>
                <w:kern w:val="0"/>
              </w:rPr>
              <w:t>的销售手续费，每日计提，每个投资周期结束后收取。</w:t>
            </w:r>
          </w:p>
          <w:p>
            <w:pPr>
              <w:rPr>
                <w:rFonts w:ascii="宋体" w:hAnsi="宋体" w:cs="宋体"/>
                <w:color w:val="000000"/>
                <w:kern w:val="0"/>
              </w:rPr>
            </w:pPr>
            <w:r>
              <w:rPr>
                <w:rFonts w:hint="eastAsia" w:ascii="宋体" w:hAnsi="宋体" w:cs="宋体"/>
                <w:color w:val="000000"/>
                <w:kern w:val="0"/>
              </w:rPr>
              <w:t>2．托管费。本产品托管人收取年化0.025</w:t>
            </w:r>
            <w:r>
              <w:rPr>
                <w:rFonts w:ascii="宋体" w:hAnsi="宋体" w:cs="宋体"/>
                <w:color w:val="000000"/>
                <w:kern w:val="0"/>
              </w:rPr>
              <w:t>%</w:t>
            </w:r>
            <w:r>
              <w:rPr>
                <w:rFonts w:hint="eastAsia" w:ascii="宋体" w:hAnsi="宋体" w:cs="宋体"/>
                <w:color w:val="000000"/>
                <w:kern w:val="0"/>
              </w:rPr>
              <w:t>的托管费，每日计提，每个投资周期结束后收取。</w:t>
            </w:r>
          </w:p>
          <w:p>
            <w:pPr>
              <w:rPr>
                <w:rFonts w:ascii="宋体" w:hAnsi="宋体" w:cs="宋体"/>
                <w:color w:val="000000"/>
                <w:kern w:val="0"/>
              </w:rPr>
            </w:pPr>
            <w:r>
              <w:rPr>
                <w:rFonts w:hint="eastAsia" w:ascii="宋体" w:hAnsi="宋体" w:cs="宋体"/>
                <w:color w:val="000000"/>
                <w:kern w:val="0"/>
              </w:rPr>
              <w:t>3．固定管理费。本产品管理人收取年化0.3</w:t>
            </w:r>
            <w:r>
              <w:rPr>
                <w:rFonts w:ascii="宋体" w:hAnsi="宋体" w:cs="宋体"/>
                <w:color w:val="000000"/>
                <w:kern w:val="0"/>
              </w:rPr>
              <w:t>%</w:t>
            </w:r>
            <w:r>
              <w:rPr>
                <w:rFonts w:hint="eastAsia" w:ascii="宋体" w:hAnsi="宋体" w:cs="宋体"/>
                <w:color w:val="000000"/>
                <w:kern w:val="0"/>
              </w:rPr>
              <w:t>的固定管理费，每日计提，每个投资周期结束后收取。</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4．浮动管理费。理财管理人根据理财计划投资情况计算浮动管理费，本理财产品投资周期年化收益率超过业绩比较基准上限的部分,管理人提取50%作为浮动管理费。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（一）投资范围</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0"/>
        <w:snapToGrid w:val="0"/>
        <w:spacing w:line="560" w:lineRule="exact"/>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固定收益类资产，包括但不限于各类债券、存款、货币市场金融工具等高流动性资产、债券基金、质押式及买断式回购、符合监管要求的债权类资产及其他符合监管要求的资产及资产管理计划，权益类资产等</w:t>
      </w:r>
      <w:r>
        <w:rPr>
          <w:rFonts w:hint="eastAsia" w:ascii="宋体" w:cs="宋体"/>
          <w:b/>
          <w:sz w:val="21"/>
          <w:szCs w:val="22"/>
        </w:rPr>
        <w:t>。</w:t>
      </w:r>
    </w:p>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（二）投资比例</w:t>
      </w:r>
    </w:p>
    <w:tbl>
      <w:tblPr>
        <w:tblStyle w:val="13"/>
        <w:tblW w:w="8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2269"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1842"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2269"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1842" w:type="dxa"/>
            <w:vMerge w:val="continue"/>
            <w:vAlign w:val="center"/>
          </w:tcPr>
          <w:p>
            <w:pPr>
              <w:spacing w:line="520" w:lineRule="exact"/>
              <w:jc w:val="center"/>
              <w:rPr>
                <w:rFonts w:ascii="宋体" w:cs="Times New Roman"/>
                <w:kern w:val="0"/>
                <w:sz w:val="18"/>
                <w:szCs w:val="18"/>
              </w:rPr>
            </w:pPr>
          </w:p>
        </w:tc>
      </w:tr>
    </w:tbl>
    <w:p>
      <w:pPr>
        <w:pStyle w:val="30"/>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本产品还可能根据市场行情，在监管政策允许的范围内，在适当的时机投资不高于理财产品总资产的20%的资金于权益类资产。</w:t>
      </w:r>
    </w:p>
    <w:p>
      <w:pPr>
        <w:pStyle w:val="30"/>
        <w:numPr>
          <w:ilvl w:val="0"/>
          <w:numId w:val="2"/>
        </w:numPr>
        <w:spacing w:line="360" w:lineRule="auto"/>
        <w:ind w:firstLine="420" w:firstLineChars="200"/>
        <w:rPr>
          <w:rFonts w:hint="eastAsia" w:ascii="宋体" w:cs="Times New Roman"/>
          <w:sz w:val="21"/>
          <w:szCs w:val="21"/>
        </w:rPr>
      </w:pPr>
      <w:r>
        <w:rPr>
          <w:rFonts w:hint="eastAsia" w:ascii="宋体" w:cs="宋体"/>
          <w:sz w:val="21"/>
          <w:szCs w:val="21"/>
        </w:rPr>
        <w:t>投资模拟情况</w:t>
      </w:r>
    </w:p>
    <w:p>
      <w:pPr>
        <w:pStyle w:val="30"/>
        <w:spacing w:line="360" w:lineRule="auto"/>
        <w:ind w:firstLine="420" w:firstLineChars="200"/>
        <w:rPr>
          <w:rFonts w:hint="eastAsia" w:ascii="宋体" w:cs="Times New Roman"/>
          <w:sz w:val="21"/>
          <w:szCs w:val="21"/>
        </w:rPr>
      </w:pPr>
      <w:r>
        <w:rPr>
          <w:rFonts w:hint="eastAsia" w:ascii="宋体" w:cs="宋体"/>
          <w:sz w:val="21"/>
          <w:szCs w:val="21"/>
        </w:rPr>
        <w:t>按下列投资品的市场收益率或公允估值进行历史模拟，测算收益率如下（</w:t>
      </w:r>
      <w:r>
        <w:rPr>
          <w:rFonts w:hint="eastAsia" w:ascii="宋体" w:cs="宋体"/>
          <w:b/>
          <w:sz w:val="21"/>
          <w:szCs w:val="21"/>
        </w:rPr>
        <w:t>理财产品过往业绩不代表其未来表现，不等于理财产品实际收益，投资须谨慎</w:t>
      </w:r>
      <w:r>
        <w:rPr>
          <w:rFonts w:hint="eastAsia" w:ascii="宋体" w:cs="宋体"/>
          <w:sz w:val="21"/>
          <w:szCs w:val="21"/>
        </w:rPr>
        <w:t>）：</w:t>
      </w:r>
    </w:p>
    <w:tbl>
      <w:tblPr>
        <w:tblStyle w:val="13"/>
        <w:tblW w:w="9359" w:type="dxa"/>
        <w:jc w:val="center"/>
        <w:tblLayout w:type="fixed"/>
        <w:tblCellMar>
          <w:top w:w="15" w:type="dxa"/>
          <w:left w:w="15" w:type="dxa"/>
          <w:bottom w:w="15" w:type="dxa"/>
          <w:right w:w="15" w:type="dxa"/>
        </w:tblCellMar>
      </w:tblPr>
      <w:tblGrid>
        <w:gridCol w:w="3572"/>
        <w:gridCol w:w="2148"/>
        <w:gridCol w:w="363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收益率</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1</w:t>
            </w:r>
            <w:r>
              <w:rPr>
                <w:rFonts w:ascii="宋体" w:hAnsi="宋体" w:cs="宋体"/>
                <w:color w:val="000000"/>
                <w:kern w:val="0"/>
                <w:sz w:val="18"/>
                <w:szCs w:val="18"/>
              </w:rPr>
              <w:t>%-4.</w:t>
            </w:r>
            <w:r>
              <w:rPr>
                <w:rFonts w:hint="eastAsia" w:ascii="宋体" w:hAnsi="宋体" w:cs="宋体"/>
                <w:color w:val="000000"/>
                <w:kern w:val="0"/>
                <w:sz w:val="18"/>
                <w:szCs w:val="18"/>
              </w:rPr>
              <w:t>0</w:t>
            </w:r>
            <w:r>
              <w:rPr>
                <w:rFonts w:ascii="宋体" w:hAnsi="宋体" w:cs="宋体"/>
                <w:color w:val="000000"/>
                <w:kern w:val="0"/>
                <w:sz w:val="18"/>
                <w:szCs w:val="18"/>
              </w:rPr>
              <w:t>%</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%-5.3%</w:t>
            </w:r>
          </w:p>
        </w:tc>
        <w:tc>
          <w:tcPr>
            <w:tcW w:w="36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3.2</w:t>
            </w:r>
            <w:r>
              <w:rPr>
                <w:rFonts w:ascii="宋体" w:hAnsi="宋体" w:cs="宋体"/>
                <w:color w:val="000000"/>
                <w:kern w:val="0"/>
                <w:sz w:val="18"/>
                <w:szCs w:val="18"/>
              </w:rPr>
              <w:t>%-5.3%</w:t>
            </w:r>
          </w:p>
        </w:tc>
        <w:tc>
          <w:tcPr>
            <w:tcW w:w="3639" w:type="dxa"/>
            <w:tcBorders>
              <w:top w:val="single" w:color="000000" w:sz="4" w:space="0"/>
              <w:left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ascii="宋体" w:hAnsi="宋体" w:cs="宋体"/>
                <w:color w:val="000000"/>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历史数据投资组合模拟收益</w:t>
            </w:r>
          </w:p>
        </w:tc>
        <w:tc>
          <w:tcPr>
            <w:tcW w:w="57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8"/>
                <w:szCs w:val="18"/>
              </w:rPr>
            </w:pPr>
            <w:r>
              <w:rPr>
                <w:rFonts w:hint="eastAsia" w:ascii="宋体" w:hAnsi="宋体" w:cs="宋体"/>
                <w:color w:val="000000"/>
                <w:kern w:val="0"/>
                <w:sz w:val="18"/>
                <w:szCs w:val="18"/>
              </w:rPr>
              <w:t>3</w:t>
            </w:r>
            <w:r>
              <w:rPr>
                <w:rFonts w:ascii="宋体" w:hAnsi="宋体" w:cs="宋体"/>
                <w:color w:val="000000"/>
                <w:kern w:val="0"/>
                <w:sz w:val="18"/>
                <w:szCs w:val="18"/>
              </w:rPr>
              <w:t>%-5.0%</w:t>
            </w:r>
          </w:p>
        </w:tc>
      </w:tr>
      <w:tr>
        <w:tblPrEx>
          <w:tblCellMar>
            <w:top w:w="15" w:type="dxa"/>
            <w:left w:w="15" w:type="dxa"/>
            <w:bottom w:w="15" w:type="dxa"/>
            <w:right w:w="15" w:type="dxa"/>
          </w:tblCellMar>
        </w:tblPrEx>
        <w:trPr>
          <w:trHeight w:val="285" w:hRule="atLeast"/>
          <w:jc w:val="center"/>
        </w:trPr>
        <w:tc>
          <w:tcPr>
            <w:tcW w:w="9359" w:type="dxa"/>
            <w:gridSpan w:val="3"/>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注：如投资品在上述期间无市场成交收益率或公允估值，则市场收益率以市场报价数据为准。</w:t>
            </w:r>
          </w:p>
        </w:tc>
      </w:tr>
    </w:tbl>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29"/>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29"/>
        <w:spacing w:line="520" w:lineRule="exact"/>
        <w:ind w:firstLine="0" w:firstLineChars="0"/>
        <w:rPr>
          <w:rFonts w:hint="eastAsia" w:ascii="宋体" w:hAnsi="Wingdings" w:cs="Times New Roman"/>
          <w:color w:val="000000"/>
          <w:kern w:val="0"/>
        </w:rPr>
      </w:pPr>
      <w:r>
        <w:rPr>
          <w:rFonts w:hint="eastAsia" w:ascii="宋体" w:hAnsi="Wingdings" w:cs="Times New Roman"/>
          <w:color w:val="000000"/>
          <w:kern w:val="0"/>
        </w:rPr>
        <w:t xml:space="preserve">1. </w:t>
      </w:r>
      <w:r>
        <w:rPr>
          <w:rFonts w:hint="eastAsia" w:ascii="宋体" w:cs="宋体"/>
        </w:rPr>
        <w:t>存款、债券回购、拆借及存放同业。</w:t>
      </w:r>
    </w:p>
    <w:p>
      <w:pPr>
        <w:pStyle w:val="30"/>
        <w:spacing w:line="360" w:lineRule="auto"/>
        <w:ind w:firstLine="630" w:firstLineChars="300"/>
        <w:rPr>
          <w:rFonts w:hint="eastAsia" w:ascii="宋体" w:cs="宋体"/>
        </w:rPr>
      </w:pPr>
      <w:r>
        <w:rPr>
          <w:rFonts w:hint="eastAsia" w:ascii="宋体" w:cs="宋体"/>
          <w:sz w:val="21"/>
          <w:szCs w:val="21"/>
        </w:rPr>
        <w:t>按成本估值，逐日计提利息。</w:t>
      </w:r>
    </w:p>
    <w:p>
      <w:pPr>
        <w:pStyle w:val="30"/>
        <w:numPr>
          <w:ilvl w:val="0"/>
          <w:numId w:val="3"/>
        </w:numPr>
        <w:spacing w:line="360" w:lineRule="auto"/>
        <w:rPr>
          <w:rFonts w:hint="eastAsia" w:ascii="宋体" w:cs="宋体"/>
          <w:sz w:val="21"/>
          <w:szCs w:val="21"/>
        </w:rPr>
      </w:pPr>
      <w:r>
        <w:rPr>
          <w:rFonts w:hint="eastAsia" w:ascii="宋体" w:cs="宋体"/>
          <w:sz w:val="21"/>
          <w:szCs w:val="21"/>
        </w:rPr>
        <w:t>债券、票据、资产支持证券等固定收益类资产。</w:t>
      </w:r>
    </w:p>
    <w:p>
      <w:pPr>
        <w:pStyle w:val="30"/>
        <w:numPr>
          <w:ilvl w:val="0"/>
          <w:numId w:val="4"/>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0"/>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0"/>
        <w:spacing w:line="360" w:lineRule="auto"/>
        <w:rPr>
          <w:rFonts w:hint="eastAsia" w:ascii="宋体" w:cs="宋体"/>
          <w:sz w:val="21"/>
          <w:szCs w:val="21"/>
        </w:rPr>
      </w:pPr>
      <w:r>
        <w:rPr>
          <w:rFonts w:hint="eastAsia" w:ascii="宋体" w:cs="宋体"/>
          <w:sz w:val="21"/>
          <w:szCs w:val="21"/>
        </w:rPr>
        <w:t>3.  基金、信托计划、资产管理计划等资产。</w:t>
      </w:r>
    </w:p>
    <w:p>
      <w:pPr>
        <w:pStyle w:val="30"/>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0"/>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0"/>
        <w:numPr>
          <w:ilvl w:val="0"/>
          <w:numId w:val="5"/>
        </w:numPr>
        <w:spacing w:line="360" w:lineRule="auto"/>
        <w:rPr>
          <w:rFonts w:hint="eastAsia" w:ascii="宋体" w:cs="宋体"/>
          <w:sz w:val="21"/>
          <w:szCs w:val="21"/>
        </w:rPr>
      </w:pPr>
      <w:r>
        <w:rPr>
          <w:rFonts w:hint="eastAsia" w:ascii="宋体" w:cs="宋体"/>
          <w:sz w:val="21"/>
          <w:szCs w:val="21"/>
        </w:rPr>
        <w:t>在证券交易所上市的股票。</w:t>
      </w:r>
    </w:p>
    <w:p>
      <w:pPr>
        <w:pStyle w:val="30"/>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0"/>
        <w:numPr>
          <w:ilvl w:val="0"/>
          <w:numId w:val="5"/>
        </w:numPr>
        <w:spacing w:line="360" w:lineRule="auto"/>
        <w:rPr>
          <w:rFonts w:hint="eastAsia" w:ascii="宋体" w:cs="宋体"/>
          <w:sz w:val="21"/>
          <w:szCs w:val="21"/>
        </w:rPr>
      </w:pPr>
      <w:r>
        <w:rPr>
          <w:rFonts w:hint="eastAsia" w:ascii="宋体" w:cs="宋体"/>
          <w:sz w:val="21"/>
          <w:szCs w:val="21"/>
        </w:rPr>
        <w:t>期货、互换、期权、权证等衍生金融工具。</w:t>
      </w:r>
    </w:p>
    <w:p>
      <w:pPr>
        <w:pStyle w:val="30"/>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0"/>
        <w:numPr>
          <w:ilvl w:val="0"/>
          <w:numId w:val="5"/>
        </w:numPr>
        <w:spacing w:line="360" w:lineRule="auto"/>
        <w:rPr>
          <w:rFonts w:hint="eastAsia" w:ascii="宋体" w:cs="宋体"/>
          <w:sz w:val="21"/>
          <w:szCs w:val="21"/>
        </w:rPr>
      </w:pPr>
      <w:r>
        <w:rPr>
          <w:rFonts w:hint="eastAsia" w:ascii="宋体" w:cs="宋体"/>
          <w:sz w:val="21"/>
          <w:szCs w:val="21"/>
        </w:rPr>
        <w:t>其他资产的估值方法。</w:t>
      </w:r>
    </w:p>
    <w:p>
      <w:pPr>
        <w:pStyle w:val="30"/>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0"/>
        <w:spacing w:line="360" w:lineRule="auto"/>
        <w:ind w:firstLine="420" w:firstLineChars="200"/>
        <w:rPr>
          <w:rFonts w:hint="eastAsia" w:ascii="宋体" w:cs="宋体"/>
          <w:sz w:val="21"/>
          <w:szCs w:val="21"/>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如在本产品发行、募集、管理期间，有权管理机关对财务报告准则、估值核算方法标准进行调整，管理人有权根据相关机关要求对本产品的估值方法进行相应修改。</w:t>
      </w:r>
    </w:p>
    <w:p>
      <w:pPr>
        <w:rPr>
          <w:rFonts w:ascii="宋体" w:hAnsi="宋体" w:cs="宋体"/>
          <w:kern w:val="0"/>
        </w:rPr>
      </w:pPr>
      <w:r>
        <w:rPr>
          <w:rFonts w:hint="eastAsia" w:ascii="宋体" w:hAnsi="宋体" w:cs="宋体"/>
          <w:kern w:val="0"/>
        </w:rPr>
        <w:t xml:space="preserve">   （五）估值差错处理</w:t>
      </w:r>
    </w:p>
    <w:p>
      <w:pPr>
        <w:pStyle w:val="30"/>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0"/>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确认日确认的单位净值为确认日确认的提取增值税和各相关费用后的理财产品单位份额净值。</w:t>
      </w:r>
    </w:p>
    <w:p>
      <w:pPr>
        <w:pStyle w:val="34"/>
        <w:numPr>
          <w:ilvl w:val="0"/>
          <w:numId w:val="6"/>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销售手续费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理财计划财产的年化销售手续费率为0%，计算方法如下：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H为每日应计提的销售手续费</w:t>
      </w:r>
    </w:p>
    <w:p>
      <w:pPr>
        <w:widowControl/>
        <w:spacing w:line="300" w:lineRule="auto"/>
        <w:contextualSpacing/>
        <w:outlineLvl w:val="0"/>
        <w:rPr>
          <w:rFonts w:ascii="宋体" w:hAnsi="宋体"/>
          <w:color w:val="000000"/>
        </w:rPr>
      </w:pPr>
      <w:r>
        <w:rPr>
          <w:rFonts w:hint="eastAsia" w:ascii="宋体" w:hAnsi="宋体"/>
          <w:color w:val="000000"/>
        </w:rPr>
        <w:t xml:space="preserve">    E为本产品前一日资产净值</w:t>
      </w:r>
    </w:p>
    <w:p>
      <w:pPr>
        <w:widowControl/>
        <w:spacing w:line="300" w:lineRule="auto"/>
        <w:ind w:left="400"/>
        <w:contextualSpacing/>
        <w:outlineLvl w:val="0"/>
        <w:rPr>
          <w:rFonts w:ascii="宋体" w:hAnsi="宋体"/>
          <w:color w:val="000000"/>
        </w:rPr>
      </w:pPr>
      <w:r>
        <w:rPr>
          <w:rFonts w:hint="eastAsia" w:ascii="宋体" w:hAnsi="宋体"/>
          <w:color w:val="000000"/>
        </w:rPr>
        <w:t>销售手续费原则上按日计提，</w:t>
      </w:r>
      <w:r>
        <w:rPr>
          <w:rFonts w:hint="eastAsia" w:ascii="宋体" w:hAnsi="宋体" w:cs="宋体"/>
          <w:kern w:val="0"/>
        </w:rPr>
        <w:t>于每个投资周期结束后收取。</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理财托管人的托管费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理财计划财产的年化托管费为0.025%，计算方法如下：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E为本产品存续总份额</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于每个投资周期结束后收取。</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理财管理人的固定管理费</w:t>
      </w:r>
    </w:p>
    <w:p>
      <w:pPr>
        <w:widowControl/>
        <w:spacing w:line="300" w:lineRule="auto"/>
        <w:contextualSpacing/>
        <w:outlineLvl w:val="0"/>
        <w:rPr>
          <w:rFonts w:ascii="宋体" w:hAnsi="宋体"/>
          <w:color w:val="000000"/>
        </w:rPr>
      </w:pPr>
      <w:r>
        <w:rPr>
          <w:rFonts w:hint="eastAsia" w:ascii="宋体" w:hAnsi="宋体"/>
          <w:color w:val="000000"/>
        </w:rPr>
        <w:t xml:space="preserve">    理财计划财产的年化固定管理费率为0.3%，计算方法如下：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H＝E*0.3％/365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H为每日应计提的管理费</w:t>
      </w:r>
    </w:p>
    <w:p>
      <w:pPr>
        <w:widowControl/>
        <w:spacing w:line="300" w:lineRule="auto"/>
        <w:ind w:firstLine="315" w:firstLineChars="150"/>
        <w:contextualSpacing/>
        <w:outlineLvl w:val="0"/>
        <w:rPr>
          <w:rFonts w:ascii="宋体" w:hAnsi="宋体"/>
          <w:color w:val="000000"/>
        </w:rPr>
      </w:pPr>
      <w:r>
        <w:rPr>
          <w:rFonts w:hint="eastAsia" w:ascii="宋体" w:hAnsi="宋体"/>
          <w:color w:val="000000"/>
        </w:rPr>
        <w:t xml:space="preserve"> E为本产品存续总份额</w:t>
      </w:r>
    </w:p>
    <w:p>
      <w:pPr>
        <w:widowControl/>
        <w:spacing w:line="300" w:lineRule="auto"/>
        <w:contextualSpacing/>
        <w:outlineLvl w:val="0"/>
        <w:rPr>
          <w:rFonts w:ascii="宋体" w:hAnsi="宋体"/>
          <w:color w:val="000000"/>
        </w:rPr>
      </w:pPr>
      <w:r>
        <w:rPr>
          <w:rFonts w:hint="eastAsia" w:ascii="宋体" w:hAnsi="宋体"/>
          <w:color w:val="000000"/>
        </w:rPr>
        <w:t xml:space="preserve">    固定管理费原则上按日计提，</w:t>
      </w:r>
      <w:r>
        <w:rPr>
          <w:rFonts w:hint="eastAsia" w:ascii="宋体" w:hAnsi="宋体" w:cs="宋体"/>
          <w:kern w:val="0"/>
        </w:rPr>
        <w:t>于每个投资周期结束后收取。</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left="400"/>
        <w:contextualSpacing/>
        <w:outlineLvl w:val="0"/>
        <w:rPr>
          <w:rFonts w:ascii="宋体" w:hAnsi="宋体"/>
          <w:color w:val="000000"/>
        </w:rPr>
      </w:pPr>
      <w:r>
        <w:rPr>
          <w:rFonts w:hint="eastAsia" w:ascii="宋体" w:hAnsi="宋体"/>
          <w:color w:val="000000"/>
        </w:rPr>
        <w:t>理财管理人根据理财计划投资情况计算浮动管理费，本理财产品投资周期年化收益率超过业绩比较基准上限的部分管理人提取5</w:t>
      </w:r>
      <w:r>
        <w:rPr>
          <w:rFonts w:ascii="宋体" w:hAnsi="宋体"/>
          <w:color w:val="000000"/>
        </w:rPr>
        <w:t>0%作为浮动管理费，每个开放期结束后收取；本理财产品投资周期年化收益率若小于或等于业绩比较基准上限则不收取浮动管理费。具体计算方法如下：</w:t>
      </w:r>
    </w:p>
    <w:p>
      <w:pPr>
        <w:widowControl/>
        <w:spacing w:line="300" w:lineRule="auto"/>
        <w:contextualSpacing/>
        <w:outlineLvl w:val="0"/>
        <w:rPr>
          <w:rFonts w:ascii="宋体" w:hAnsi="宋体"/>
          <w:color w:val="000000"/>
        </w:rPr>
      </w:pPr>
      <w:r>
        <w:rPr>
          <w:rFonts w:ascii="宋体" w:hAnsi="宋体"/>
          <w:color w:val="000000"/>
        </w:rPr>
        <w:t xml:space="preserve">    H＝E*NAV0*(K-R)×</w:t>
      </w:r>
      <w:r>
        <w:rPr>
          <w:rFonts w:hint="eastAsia" w:ascii="宋体" w:hAnsi="宋体"/>
          <w:color w:val="000000"/>
        </w:rPr>
        <w:t>5</w:t>
      </w:r>
      <w:r>
        <w:rPr>
          <w:rFonts w:ascii="宋体" w:hAnsi="宋体"/>
          <w:color w:val="000000"/>
        </w:rPr>
        <w:t>0％×D÷365，其中,K=(NAV1-NAV0+T) ÷NAV0×365÷D</w:t>
      </w:r>
    </w:p>
    <w:p>
      <w:pPr>
        <w:widowControl/>
        <w:spacing w:line="300" w:lineRule="auto"/>
        <w:ind w:firstLine="424" w:firstLineChars="202"/>
        <w:contextualSpacing/>
        <w:outlineLvl w:val="0"/>
        <w:rPr>
          <w:rFonts w:ascii="宋体" w:hAnsi="宋体"/>
          <w:color w:val="000000"/>
        </w:rPr>
      </w:pPr>
      <w:r>
        <w:rPr>
          <w:rFonts w:ascii="宋体" w:hAnsi="宋体"/>
          <w:color w:val="000000"/>
        </w:rPr>
        <w:t>H为当前确认日应收取的浮动管理费</w:t>
      </w:r>
    </w:p>
    <w:p>
      <w:pPr>
        <w:widowControl/>
        <w:spacing w:line="300" w:lineRule="auto"/>
        <w:ind w:firstLine="424" w:firstLineChars="202"/>
        <w:contextualSpacing/>
        <w:outlineLvl w:val="0"/>
        <w:rPr>
          <w:rFonts w:ascii="宋体" w:hAnsi="宋体"/>
          <w:color w:val="000000"/>
        </w:rPr>
      </w:pPr>
      <w:r>
        <w:rPr>
          <w:rFonts w:ascii="宋体" w:hAnsi="宋体"/>
          <w:color w:val="000000"/>
        </w:rPr>
        <w:t>E为本产品上一个确认日的存续份额</w:t>
      </w:r>
    </w:p>
    <w:p>
      <w:pPr>
        <w:widowControl/>
        <w:spacing w:line="300" w:lineRule="auto"/>
        <w:ind w:firstLine="424" w:firstLineChars="202"/>
        <w:contextualSpacing/>
        <w:outlineLvl w:val="0"/>
        <w:rPr>
          <w:rFonts w:ascii="宋体" w:hAnsi="宋体"/>
          <w:color w:val="000000"/>
        </w:rPr>
      </w:pPr>
      <w:r>
        <w:rPr>
          <w:rFonts w:ascii="宋体" w:hAnsi="宋体"/>
          <w:color w:val="000000"/>
        </w:rPr>
        <w:t>NAV0为上一个确认日费后单位净值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NAV1为当前确认日未扣除浮动管理费前的单位净值</w:t>
      </w:r>
    </w:p>
    <w:p>
      <w:pPr>
        <w:widowControl/>
        <w:spacing w:line="300" w:lineRule="auto"/>
        <w:ind w:firstLine="424" w:firstLineChars="202"/>
        <w:contextualSpacing/>
        <w:outlineLvl w:val="0"/>
        <w:rPr>
          <w:rFonts w:ascii="宋体" w:hAnsi="宋体"/>
          <w:color w:val="000000"/>
        </w:rPr>
      </w:pPr>
      <w:r>
        <w:rPr>
          <w:rFonts w:ascii="宋体" w:hAnsi="宋体"/>
          <w:color w:val="000000"/>
        </w:rPr>
        <w:t>R为当前投资周期适用的业绩比较基准上限</w:t>
      </w:r>
    </w:p>
    <w:p>
      <w:pPr>
        <w:widowControl/>
        <w:spacing w:line="300" w:lineRule="auto"/>
        <w:ind w:firstLine="420" w:firstLineChars="200"/>
        <w:contextualSpacing/>
        <w:outlineLvl w:val="0"/>
        <w:rPr>
          <w:rFonts w:ascii="宋体" w:hAnsi="宋体"/>
          <w:color w:val="000000"/>
        </w:rPr>
      </w:pPr>
      <w:r>
        <w:rPr>
          <w:rFonts w:ascii="宋体" w:hAnsi="宋体"/>
          <w:color w:val="000000"/>
        </w:rPr>
        <w:t>D为上一个确认日（含）至当前确认日（不含）的实际理财天数</w:t>
      </w:r>
    </w:p>
    <w:p>
      <w:pPr>
        <w:widowControl/>
        <w:spacing w:line="300" w:lineRule="auto"/>
        <w:ind w:firstLine="420" w:firstLineChars="200"/>
        <w:contextualSpacing/>
        <w:outlineLvl w:val="0"/>
        <w:rPr>
          <w:rFonts w:ascii="宋体" w:hAnsi="宋体"/>
          <w:color w:val="000000"/>
        </w:rPr>
      </w:pPr>
      <w:r>
        <w:rPr>
          <w:rFonts w:ascii="宋体" w:hAnsi="宋体"/>
          <w:color w:val="000000"/>
        </w:rPr>
        <w:t>T为当前投资周期内每单位份额的实际分红金额的合计（如有）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29"/>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ascii="宋体" w:cs="Times New Roman"/>
          <w:b/>
          <w:bCs/>
          <w:kern w:val="0"/>
        </w:rPr>
      </w:pPr>
      <w:r>
        <w:rPr>
          <w:rFonts w:hint="eastAsia" w:ascii="宋体" w:hAnsi="宋体" w:cs="宋体"/>
          <w:b/>
          <w:bCs/>
          <w:kern w:val="0"/>
        </w:rPr>
        <w:t>示例一：扣除托管费、固定管理费和销售手续费后，投资收益率超越业绩比较基准上限</w:t>
      </w:r>
    </w:p>
    <w:p>
      <w:pPr>
        <w:widowControl/>
        <w:spacing w:line="360" w:lineRule="auto"/>
        <w:ind w:firstLine="420" w:firstLineChars="200"/>
        <w:contextualSpacing/>
        <w:outlineLvl w:val="0"/>
        <w:rPr>
          <w:rFonts w:ascii="宋体" w:hAnsi="宋体"/>
        </w:rPr>
      </w:pPr>
      <w:r>
        <w:rPr>
          <w:rFonts w:hint="eastAsia" w:ascii="宋体" w:hAnsi="宋体"/>
        </w:rPr>
        <w:t>以某投资者投资10万元为例，假设购买时产品净值为1.00元，折算份额为100,000.00份,投资本理财产品362天后，赎回份额100000.00份。假设管理人提取超过业绩基准部分的80%作为浮动管理费，产品业绩比较基准上限为5.60%，期间无分红。赎回时扣除增值税、托管费、销售手续费、固定管理费后，如产品净值为1.0615，此时，(1.0615/1.00-1)×365/362=6.20%&gt;5.60%，即投资收益超越业绩比较基准上限，则投资管理人对超过业绩比较基准上限部分收益收取浮动管理费，浮动管理费为：</w:t>
      </w:r>
    </w:p>
    <w:p>
      <w:pPr>
        <w:widowControl/>
        <w:spacing w:line="360" w:lineRule="auto"/>
        <w:ind w:firstLine="420" w:firstLineChars="200"/>
        <w:contextualSpacing/>
        <w:outlineLvl w:val="0"/>
        <w:rPr>
          <w:rFonts w:ascii="宋体" w:hAnsi="宋体"/>
        </w:rPr>
      </w:pPr>
      <w:r>
        <w:rPr>
          <w:rFonts w:hint="eastAsia" w:ascii="宋体" w:hAnsi="宋体"/>
        </w:rPr>
        <w:t>100,000.00×1.00×(6.20%-5.60%)×80%×362÷365=476.05（元）</w:t>
      </w:r>
    </w:p>
    <w:p>
      <w:pPr>
        <w:widowControl/>
        <w:spacing w:line="360" w:lineRule="auto"/>
        <w:ind w:firstLine="420" w:firstLineChars="200"/>
        <w:contextualSpacing/>
        <w:outlineLvl w:val="0"/>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100,000.00×（1.0615-1.00）-476.05=5,673.95（元），产品赎回时，投资者获得的实际收益相当于达到年化收益率水平为：5,673.95/100,000.00×365/362=5.72%。</w:t>
      </w:r>
    </w:p>
    <w:p>
      <w:pPr>
        <w:spacing w:line="520" w:lineRule="exact"/>
        <w:ind w:firstLine="413" w:firstLineChars="196"/>
        <w:rPr>
          <w:rFonts w:ascii="宋体" w:cs="Times New Roman"/>
          <w:b/>
          <w:bCs/>
          <w:kern w:val="0"/>
        </w:rPr>
      </w:pPr>
      <w:r>
        <w:rPr>
          <w:rFonts w:hint="eastAsia" w:ascii="宋体" w:hAnsi="宋体" w:cs="宋体"/>
          <w:b/>
          <w:bCs/>
          <w:kern w:val="0"/>
        </w:rPr>
        <w:t>示例二：扣除托管费、固定管理费和销售手续费后，投资收益率未达到业绩比较基准上限</w:t>
      </w:r>
    </w:p>
    <w:p>
      <w:pPr>
        <w:widowControl/>
        <w:spacing w:line="360" w:lineRule="auto"/>
        <w:ind w:firstLine="420" w:firstLineChars="200"/>
        <w:contextualSpacing/>
        <w:outlineLvl w:val="0"/>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管理人提取超过业绩基准部分的80%作为浮动管理费，</w:t>
      </w:r>
      <w:r>
        <w:rPr>
          <w:rFonts w:hint="eastAsia" w:ascii="宋体" w:hAnsi="宋体" w:cs="宋体"/>
          <w:kern w:val="0"/>
        </w:rPr>
        <w:t>产品业绩比较基准上限为5.60</w:t>
      </w:r>
      <w:r>
        <w:rPr>
          <w:rFonts w:ascii="宋体" w:hAnsi="宋体" w:cs="宋体"/>
          <w:kern w:val="0"/>
        </w:rPr>
        <w:t xml:space="preserve">% </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。赎回时扣除增值税、托管费、销售手续费、固定管理费等各类税费后，</w:t>
      </w:r>
    </w:p>
    <w:p>
      <w:pPr>
        <w:widowControl/>
        <w:spacing w:line="360" w:lineRule="auto"/>
        <w:contextualSpacing/>
        <w:outlineLvl w:val="0"/>
        <w:rPr>
          <w:rFonts w:ascii="宋体" w:hAnsi="宋体"/>
        </w:rPr>
      </w:pPr>
      <w:r>
        <w:rPr>
          <w:rFonts w:hint="eastAsia" w:ascii="宋体" w:hAnsi="宋体"/>
        </w:rPr>
        <w:t>如产品净值为1.0496，此时，(1.0496/1.00-1)×365/362=5.00%&lt;5.60%，即投资收益未达到业绩比较基准上限，则投资管理人不收取浮动管理费，</w:t>
      </w:r>
      <w:r>
        <w:rPr>
          <w:rFonts w:hint="eastAsia" w:ascii="宋体" w:hAnsi="宋体" w:cs="宋体"/>
          <w:kern w:val="0"/>
        </w:rPr>
        <w:t>投资者</w:t>
      </w:r>
      <w:r>
        <w:rPr>
          <w:rFonts w:hint="eastAsia" w:ascii="宋体" w:hAnsi="宋体"/>
        </w:rPr>
        <w:t>最终收益为：100,000.00×(1.0496-1.00）=4,960.00（元）。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示例三：扣除托管费、固定管理费和销售手续费后，投资发生亏损</w:t>
      </w:r>
    </w:p>
    <w:p>
      <w:pPr>
        <w:spacing w:line="520" w:lineRule="exact"/>
        <w:ind w:firstLine="420" w:firstLineChars="200"/>
        <w:rPr>
          <w:rFonts w:ascii="宋体" w:hAnsi="宋体" w:cs="宋体"/>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管理人提取超过业绩基准部分的80%作为浮动管理费，</w:t>
      </w:r>
      <w:r>
        <w:rPr>
          <w:rFonts w:hint="eastAsia" w:ascii="宋体" w:hAnsi="宋体" w:cs="宋体"/>
          <w:kern w:val="0"/>
        </w:rPr>
        <w:t>产品业绩比较基准上限为5.60</w:t>
      </w:r>
      <w:r>
        <w:rPr>
          <w:rFonts w:ascii="宋体" w:hAnsi="宋体" w:cs="宋体"/>
          <w:kern w:val="0"/>
        </w:rPr>
        <w:t>%</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赎回时扣除增值税、托管费、销售手续费、固定管理费等各类税费后，如产品净值为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（一）受理时间</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本产品在每个开放期的工作时间都可以进行申购和赎回，申购和赎回申请将在本次开放期后的第一个确认日确认。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本理财产品首次购买的起点金额为1元，追加购买金额必须是1元或1元的整数倍；存续份额不得低于1份；单户持有份额不得超过1亿份。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29"/>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投资者可选择全额或部分赎回，部分赎回后投资者持有本理财产品的实时余额不得低于1份。</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29"/>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在本产品的首次认购期和每一次开放期内，投资者提出认购或申购申请将在成立日或本次开放期后的第一个确认日进行确认。</w:t>
      </w:r>
    </w:p>
    <w:p>
      <w:pPr>
        <w:pStyle w:val="29"/>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投资者在下一个确认日前一日17:00之前提出的赎回申请，将在下一个确认日确认，赎回资金将在确认日后3个工作日内到账。</w:t>
      </w:r>
    </w:p>
    <w:p>
      <w:pPr>
        <w:pStyle w:val="29"/>
        <w:spacing w:line="520" w:lineRule="exact"/>
        <w:ind w:firstLineChars="0"/>
        <w:rPr>
          <w:rFonts w:hint="eastAsia" w:ascii="宋体" w:hAnsi="Wingdings" w:cs="宋体"/>
          <w:color w:val="000000"/>
          <w:kern w:val="0"/>
        </w:rPr>
      </w:pPr>
      <w:r>
        <w:rPr>
          <w:rFonts w:hint="eastAsia" w:ascii="宋体" w:hAnsi="Wingdings" w:cs="宋体"/>
          <w:color w:val="000000"/>
          <w:kern w:val="0"/>
        </w:rPr>
        <w:t>(四) 巨额赎回及处理：</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w:t>
      </w:r>
      <w:r>
        <w:rPr>
          <w:rFonts w:hint="eastAsia" w:ascii="宋体" w:hAnsi="Wingdings" w:cs="Times New Roman"/>
          <w:color w:val="000000"/>
          <w:kern w:val="0"/>
        </w:rPr>
        <w:t>赎</w:t>
      </w:r>
      <w:r>
        <w:rPr>
          <w:rFonts w:hint="eastAsia" w:ascii="宋体" w:hAnsi="Wingdings" w:cs="宋体"/>
          <w:color w:val="000000"/>
          <w:kern w:val="0"/>
        </w:rPr>
        <w:t>回认定：确认日理财计划净赎回申请份额（赎回申请总份额扣除申购申请总份额后的余额）超过上一确认日日终总份额的10%时，即构成巨额赎回。</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29"/>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确认日日终总份额的10％的前提下，对其余赎回申请予以拒绝，但投资者可于下一开放期重新进行赎回申请。</w:t>
      </w:r>
    </w:p>
    <w:p>
      <w:pPr>
        <w:pStyle w:val="29"/>
        <w:numPr>
          <w:ilvl w:val="0"/>
          <w:numId w:val="10"/>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（2）产品连续两个确认日发生巨额赎回，管理人可暂停接受赎回申请；</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29"/>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29"/>
        <w:numPr>
          <w:ilvl w:val="0"/>
          <w:numId w:val="12"/>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理财产品确认日和终止日（实际到期日）后3个工作日为资金清算期，该期间不计付利息及理财收益。</w:t>
      </w:r>
    </w:p>
    <w:p>
      <w:pPr>
        <w:pStyle w:val="29"/>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4"/>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29"/>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29"/>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29"/>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29"/>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29"/>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29"/>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，管理人会在每个确认日后三个工作日内披露本理财产品净值（扣除本产品各项税费后）。</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0"/>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0"/>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请致电投资者服务热线咨询、投诉。</w:t>
      </w:r>
    </w:p>
    <w:p>
      <w:pPr>
        <w:numPr>
          <w:ilvl w:val="0"/>
          <w:numId w:val="16"/>
        </w:numPr>
        <w:spacing w:line="520" w:lineRule="exact"/>
        <w:ind w:hanging="142"/>
        <w:rPr>
          <w:rFonts w:ascii="Cambria" w:hAnsi="Cambria" w:cs="宋体"/>
          <w:b/>
          <w:bCs/>
          <w:kern w:val="28"/>
          <w:sz w:val="28"/>
          <w:szCs w:val="28"/>
        </w:rPr>
      </w:pPr>
      <w:r>
        <w:rPr>
          <w:rFonts w:hint="eastAsia" w:ascii="Cambria" w:hAnsi="Cambria" w:cs="宋体"/>
          <w:b/>
          <w:bCs/>
          <w:kern w:val="28"/>
          <w:sz w:val="28"/>
          <w:szCs w:val="28"/>
        </w:rPr>
        <w:t>其他</w:t>
      </w:r>
    </w:p>
    <w:p>
      <w:pPr>
        <w:spacing w:line="520" w:lineRule="exact"/>
        <w:rPr>
          <w:rFonts w:hint="eastAsia" w:ascii="宋体" w:hAnsi="Wingdings" w:cs="宋体"/>
          <w:color w:val="000000"/>
          <w:kern w:val="0"/>
        </w:rPr>
      </w:pPr>
      <w:r>
        <w:rPr>
          <w:rFonts w:hint="eastAsia" w:ascii="宋体" w:hAnsi="Wingdings" w:cs="宋体"/>
          <w:color w:val="000000"/>
          <w:kern w:val="0"/>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理财计划合同的订立、生效、履行、解释、修改和终止等事项的适用法律和争议解决方式按照《理财协议书》的相关约定执行。</w:t>
      </w:r>
    </w:p>
    <w:p>
      <w:pPr>
        <w:spacing w:line="360" w:lineRule="auto"/>
        <w:jc w:val="center"/>
        <w:rPr>
          <w:rFonts w:ascii="宋体" w:hAnsi="宋体"/>
          <w:b/>
          <w:bCs/>
          <w:color w:val="000000"/>
          <w:sz w:val="32"/>
          <w:szCs w:val="32"/>
        </w:rPr>
      </w:pPr>
      <w:r>
        <w:rPr>
          <w:rFonts w:hint="eastAsia"/>
          <w:b/>
          <w:sz w:val="32"/>
          <w:szCs w:val="32"/>
        </w:rPr>
        <w:br w:type="page"/>
      </w:r>
      <w:r>
        <w:rPr>
          <w:rFonts w:hint="eastAsia" w:ascii="宋体" w:hAnsi="宋体"/>
          <w:b/>
          <w:bCs/>
          <w:color w:val="000000"/>
          <w:sz w:val="32"/>
          <w:szCs w:val="32"/>
        </w:rPr>
        <w:t>杭银理财投资者权益须知</w:t>
      </w:r>
    </w:p>
    <w:p>
      <w:pPr>
        <w:jc w:val="center"/>
        <w:rPr>
          <w:rFonts w:ascii="宋体" w:hAnsi="宋体"/>
          <w:b/>
          <w:bCs/>
          <w:color w:val="000000"/>
        </w:rPr>
      </w:pPr>
      <w:r>
        <w:rPr>
          <w:rFonts w:hint="eastAsia" w:ascii="宋体" w:hAnsi="宋体"/>
        </w:rPr>
        <w:t>（202101版）</w:t>
      </w:r>
    </w:p>
    <w:p>
      <w:pPr>
        <w:spacing w:line="360" w:lineRule="auto"/>
        <w:jc w:val="center"/>
        <w:rPr>
          <w:rFonts w:ascii="宋体" w:hAnsi="宋体"/>
          <w:b/>
          <w:bCs/>
          <w:u w:val="single"/>
        </w:rPr>
      </w:pPr>
      <w:r>
        <w:rPr>
          <w:rFonts w:hint="eastAsia" w:ascii="宋体" w:hAnsi="宋体"/>
          <w:b/>
          <w:bCs/>
          <w:u w:val="single"/>
        </w:rPr>
        <w:t>理财非存款、产品有风险、投资须谨慎</w:t>
      </w:r>
    </w:p>
    <w:p>
      <w:pPr>
        <w:spacing w:line="360" w:lineRule="auto"/>
        <w:rPr>
          <w:rFonts w:ascii="宋体" w:hAnsi="宋体"/>
          <w:kern w:val="0"/>
        </w:rPr>
      </w:pPr>
      <w:r>
        <w:rPr>
          <w:rFonts w:hint="eastAsia" w:ascii="宋体" w:hAnsi="宋体"/>
          <w:kern w:val="0"/>
        </w:rPr>
        <w:t>尊敬的投资者：</w:t>
      </w:r>
    </w:p>
    <w:p>
      <w:pPr>
        <w:spacing w:line="360" w:lineRule="auto"/>
        <w:ind w:firstLine="420" w:firstLineChars="200"/>
        <w:rPr>
          <w:rFonts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numPr>
          <w:ilvl w:val="0"/>
          <w:numId w:val="17"/>
        </w:numPr>
        <w:spacing w:line="360" w:lineRule="auto"/>
        <w:rPr>
          <w:rFonts w:ascii="宋体" w:hAnsi="宋体"/>
          <w:b/>
          <w:bCs/>
          <w:kern w:val="0"/>
        </w:rPr>
      </w:pPr>
      <w:r>
        <w:rPr>
          <w:rFonts w:hint="eastAsia" w:ascii="宋体" w:hAnsi="宋体"/>
          <w:b/>
          <w:bCs/>
          <w:kern w:val="0"/>
        </w:rPr>
        <w:t>理财计划办理流程</w:t>
      </w:r>
    </w:p>
    <w:p>
      <w:pPr>
        <w:numPr>
          <w:ilvl w:val="0"/>
          <w:numId w:val="18"/>
        </w:numPr>
        <w:spacing w:line="360" w:lineRule="auto"/>
        <w:rPr>
          <w:rFonts w:ascii="宋体" w:hAnsi="宋体"/>
          <w:kern w:val="0"/>
        </w:rPr>
      </w:pPr>
      <w:r>
        <w:rPr>
          <w:rFonts w:hint="eastAsia" w:ascii="宋体" w:hAnsi="宋体"/>
          <w:kern w:val="0"/>
        </w:rPr>
        <w:t>首次在销售机构购买理财的投资者须开立或持有销售机构账户，提供真实身份信息并确认正确的联系方式；该账户用于本理财计划的资金划转及兑付，您应确保持有本理财计划期间指定账户不做销户。</w:t>
      </w:r>
    </w:p>
    <w:p>
      <w:pPr>
        <w:numPr>
          <w:ilvl w:val="0"/>
          <w:numId w:val="18"/>
        </w:numPr>
        <w:spacing w:line="360" w:lineRule="auto"/>
        <w:rPr>
          <w:rFonts w:ascii="宋体" w:hAnsi="宋体"/>
          <w:kern w:val="0"/>
        </w:rPr>
      </w:pPr>
      <w:r>
        <w:rPr>
          <w:rFonts w:hint="eastAsia" w:ascii="宋体" w:hAnsi="宋体"/>
          <w:kern w:val="0"/>
        </w:rPr>
        <w:t>首次在销售机构购买杭银理财理财计划的个人投资者须接受并完成销售机构对您的风险承受能力评估，并确认风险承受能力等级不低于本理财计划风险评级。</w:t>
      </w:r>
    </w:p>
    <w:p>
      <w:pPr>
        <w:numPr>
          <w:ilvl w:val="0"/>
          <w:numId w:val="18"/>
        </w:numPr>
        <w:spacing w:line="360" w:lineRule="auto"/>
        <w:rPr>
          <w:rFonts w:ascii="宋体" w:hAnsi="宋体"/>
          <w:kern w:val="0"/>
        </w:rPr>
      </w:pPr>
      <w:r>
        <w:rPr>
          <w:rFonts w:hint="eastAsia" w:ascii="宋体" w:hAnsi="宋体"/>
          <w:kern w:val="0"/>
        </w:rPr>
        <w:t>投资者应仔细阅读本理财计划完整合同（包括但不限于风险揭示书、理财计划产品说明书、投资者权益须知和理财计划投资协议书）等相关协议文件，确认对理财计划条款及风险理解并无疑问和异议后，自主作出认（申）购和赎回决定，独立抄录风险确认语句并签署相关销售文件，办理理财计划交易手续，自主承担投资风险。</w:t>
      </w:r>
    </w:p>
    <w:p>
      <w:pPr>
        <w:numPr>
          <w:ilvl w:val="0"/>
          <w:numId w:val="18"/>
        </w:numPr>
        <w:spacing w:line="360" w:lineRule="auto"/>
        <w:rPr>
          <w:rFonts w:ascii="宋体" w:hAnsi="宋体"/>
          <w:kern w:val="0"/>
        </w:rPr>
      </w:pPr>
      <w:r>
        <w:rPr>
          <w:rFonts w:hint="eastAsia" w:ascii="宋体" w:hAnsi="宋体"/>
          <w:kern w:val="0"/>
        </w:rPr>
        <w:t>如在银行营业场所购买杭银理财理财计划，销售机构需对每笔理财计划销售过程同步录音录像。</w:t>
      </w:r>
    </w:p>
    <w:p>
      <w:pPr>
        <w:numPr>
          <w:ilvl w:val="0"/>
          <w:numId w:val="18"/>
        </w:numPr>
        <w:spacing w:line="360" w:lineRule="auto"/>
        <w:rPr>
          <w:rFonts w:ascii="宋体" w:hAnsi="宋体"/>
          <w:kern w:val="0"/>
        </w:rPr>
      </w:pPr>
      <w:r>
        <w:rPr>
          <w:rFonts w:hint="eastAsia" w:ascii="宋体" w:hAnsi="宋体"/>
          <w:kern w:val="0"/>
        </w:rPr>
        <w:t>投资者确定交易金额，完成交易申请，并在确认份额后进行查询。</w:t>
      </w:r>
    </w:p>
    <w:p>
      <w:pPr>
        <w:numPr>
          <w:ilvl w:val="0"/>
          <w:numId w:val="19"/>
        </w:numPr>
        <w:spacing w:line="360" w:lineRule="auto"/>
        <w:rPr>
          <w:rFonts w:ascii="宋体" w:hAnsi="宋体"/>
          <w:b/>
          <w:bCs/>
          <w:kern w:val="0"/>
        </w:rPr>
      </w:pPr>
      <w:r>
        <w:rPr>
          <w:rFonts w:hint="eastAsia" w:ascii="宋体" w:hAnsi="宋体"/>
          <w:b/>
          <w:bCs/>
          <w:kern w:val="0"/>
        </w:rPr>
        <w:t>杭银理财产品风险评级</w:t>
      </w:r>
    </w:p>
    <w:p>
      <w:pPr>
        <w:spacing w:line="360" w:lineRule="auto"/>
        <w:ind w:firstLine="420" w:firstLineChars="200"/>
        <w:rPr>
          <w:rFonts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ascii="宋体" w:hAnsi="宋体"/>
          <w:kern w:val="0"/>
        </w:rPr>
      </w:pP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numPr>
          <w:ilvl w:val="0"/>
          <w:numId w:val="20"/>
        </w:numPr>
        <w:spacing w:line="360" w:lineRule="auto"/>
        <w:rPr>
          <w:rFonts w:ascii="宋体" w:hAnsi="宋体" w:cs="Times New Roman"/>
          <w:b/>
          <w:bCs/>
          <w:kern w:val="0"/>
        </w:rPr>
      </w:pPr>
      <w:r>
        <w:rPr>
          <w:rFonts w:hint="eastAsia" w:ascii="宋体" w:hAnsi="宋体"/>
          <w:b/>
          <w:bCs/>
          <w:kern w:val="0"/>
        </w:rPr>
        <w:t>投资者风险承受能力评估</w:t>
      </w:r>
    </w:p>
    <w:p>
      <w:pPr>
        <w:numPr>
          <w:ilvl w:val="0"/>
          <w:numId w:val="21"/>
        </w:numPr>
        <w:spacing w:line="360" w:lineRule="auto"/>
        <w:rPr>
          <w:rFonts w:ascii="宋体" w:hAnsi="宋体"/>
          <w:kern w:val="0"/>
        </w:rPr>
      </w:pPr>
      <w:r>
        <w:rPr>
          <w:rFonts w:hint="eastAsia" w:ascii="宋体" w:hAnsi="宋体"/>
          <w:kern w:val="0"/>
        </w:rPr>
        <w:t>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numPr>
          <w:ilvl w:val="0"/>
          <w:numId w:val="21"/>
        </w:numPr>
        <w:spacing w:line="360" w:lineRule="auto"/>
        <w:rPr>
          <w:rFonts w:ascii="宋体" w:hAnsi="宋体"/>
          <w:kern w:val="0"/>
        </w:rPr>
      </w:pPr>
      <w:r>
        <w:rPr>
          <w:rFonts w:hint="eastAsia" w:ascii="宋体" w:hAnsi="宋体"/>
          <w:kern w:val="0"/>
        </w:rPr>
        <w:t>个人投资者风险承受能力评估结果有效期为一年，如风险承受能力评估时效已超过一年，或影响风险承受能力的因素发生变化，请及时完成风险承受能力的重新评估。</w:t>
      </w:r>
    </w:p>
    <w:p>
      <w:pPr>
        <w:numPr>
          <w:ilvl w:val="0"/>
          <w:numId w:val="21"/>
        </w:numPr>
        <w:spacing w:line="360" w:lineRule="auto"/>
        <w:rPr>
          <w:rFonts w:ascii="宋体" w:hAnsi="宋体"/>
          <w:kern w:val="0"/>
        </w:rPr>
      </w:pPr>
      <w:r>
        <w:rPr>
          <w:rFonts w:hint="eastAsia" w:ascii="宋体" w:hAnsi="宋体"/>
          <w:kern w:val="0"/>
        </w:rPr>
        <w:t>个人投资者风险承受能力评估流程（详询销售机构工作人员）</w:t>
      </w:r>
    </w:p>
    <w:p>
      <w:pPr>
        <w:numPr>
          <w:ilvl w:val="0"/>
          <w:numId w:val="22"/>
        </w:numPr>
        <w:spacing w:line="360" w:lineRule="auto"/>
        <w:rPr>
          <w:rFonts w:ascii="宋体" w:hAnsi="宋体"/>
          <w:kern w:val="0"/>
        </w:rPr>
      </w:pPr>
      <w:r>
        <w:rPr>
          <w:rFonts w:hint="eastAsia" w:ascii="宋体" w:hAnsi="宋体"/>
          <w:kern w:val="0"/>
        </w:rPr>
        <w:t>个人投资者在销售机构进行风险承受能力评估；</w:t>
      </w:r>
    </w:p>
    <w:p>
      <w:pPr>
        <w:numPr>
          <w:ilvl w:val="0"/>
          <w:numId w:val="22"/>
        </w:numPr>
        <w:spacing w:line="360" w:lineRule="auto"/>
        <w:rPr>
          <w:rFonts w:ascii="宋体" w:hAnsi="宋体"/>
          <w:kern w:val="0"/>
        </w:rPr>
      </w:pPr>
      <w:r>
        <w:rPr>
          <w:rFonts w:hint="eastAsia" w:ascii="宋体" w:hAnsi="宋体"/>
          <w:kern w:val="0"/>
        </w:rPr>
        <w:t>填写销售机构个人投资者风险承受能力测试问卷；</w:t>
      </w:r>
    </w:p>
    <w:p>
      <w:pPr>
        <w:numPr>
          <w:ilvl w:val="0"/>
          <w:numId w:val="22"/>
        </w:numPr>
        <w:spacing w:line="360" w:lineRule="auto"/>
        <w:rPr>
          <w:rFonts w:ascii="宋体" w:hAnsi="宋体"/>
          <w:kern w:val="0"/>
        </w:rPr>
      </w:pPr>
      <w:r>
        <w:rPr>
          <w:rFonts w:hint="eastAsia" w:ascii="宋体" w:hAnsi="宋体"/>
          <w:kern w:val="0"/>
        </w:rPr>
        <w:t>生成相应的个人投资者风险承受能力评估结果；</w:t>
      </w:r>
    </w:p>
    <w:p>
      <w:pPr>
        <w:numPr>
          <w:ilvl w:val="0"/>
          <w:numId w:val="22"/>
        </w:numPr>
        <w:spacing w:line="360" w:lineRule="auto"/>
        <w:rPr>
          <w:rFonts w:ascii="宋体" w:hAnsi="宋体"/>
          <w:kern w:val="0"/>
        </w:rPr>
      </w:pPr>
      <w:r>
        <w:rPr>
          <w:rFonts w:hint="eastAsia" w:ascii="宋体" w:hAnsi="宋体"/>
          <w:kern w:val="0"/>
        </w:rPr>
        <w:t>投资者对评估结果进行确认。</w:t>
      </w:r>
    </w:p>
    <w:p>
      <w:pPr>
        <w:numPr>
          <w:ilvl w:val="0"/>
          <w:numId w:val="23"/>
        </w:numPr>
        <w:spacing w:line="360" w:lineRule="auto"/>
        <w:rPr>
          <w:rFonts w:ascii="宋体" w:hAnsi="宋体"/>
          <w:kern w:val="0"/>
        </w:rPr>
      </w:pPr>
      <w:r>
        <w:rPr>
          <w:rFonts w:hint="eastAsia" w:ascii="宋体" w:hAnsi="宋体"/>
          <w:kern w:val="0"/>
        </w:rPr>
        <w:t>风险承受能力评估结果将作为评价个人投资者是否适合购买理财计划的重要因素，风险承受能力评级越高适合购买的理财计划风险评级越高，适合购买的理财计划类型越丰富。</w:t>
      </w:r>
    </w:p>
    <w:p>
      <w:pPr>
        <w:numPr>
          <w:ilvl w:val="0"/>
          <w:numId w:val="23"/>
        </w:numPr>
        <w:spacing w:line="360" w:lineRule="auto"/>
        <w:rPr>
          <w:rFonts w:ascii="宋体" w:hAnsi="宋体"/>
          <w:kern w:val="0"/>
        </w:rPr>
      </w:pPr>
      <w:r>
        <w:rPr>
          <w:rFonts w:hint="eastAsia" w:ascii="宋体" w:hAnsi="宋体"/>
          <w:kern w:val="0"/>
        </w:rPr>
        <w:t>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numPr>
          <w:ilvl w:val="0"/>
          <w:numId w:val="23"/>
        </w:numPr>
        <w:spacing w:line="360" w:lineRule="auto"/>
        <w:rPr>
          <w:rFonts w:ascii="宋体" w:hAnsi="宋体"/>
          <w:kern w:val="0"/>
        </w:rPr>
      </w:pPr>
      <w:r>
        <w:rPr>
          <w:rFonts w:hint="eastAsia" w:ascii="宋体" w:hAnsi="宋体"/>
          <w:kern w:val="0"/>
        </w:rPr>
        <w:t>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ascii="宋体" w:hAnsi="宋体"/>
          <w:b/>
          <w:bCs/>
          <w:kern w:val="0"/>
        </w:rPr>
      </w:pPr>
      <w:r>
        <w:rPr>
          <w:rFonts w:hint="eastAsia" w:ascii="宋体" w:hAnsi="宋体"/>
          <w:b/>
          <w:bCs/>
          <w:kern w:val="0"/>
        </w:rPr>
        <w:t>四、理财计划信息披露</w:t>
      </w:r>
    </w:p>
    <w:p>
      <w:pPr>
        <w:spacing w:line="360" w:lineRule="auto"/>
        <w:ind w:firstLine="420" w:firstLineChars="200"/>
        <w:rPr>
          <w:rFonts w:ascii="宋体" w:hAnsi="宋体"/>
          <w:kern w:val="0"/>
        </w:rPr>
      </w:pPr>
      <w:r>
        <w:rPr>
          <w:rFonts w:hint="eastAsia" w:ascii="宋体" w:hAnsi="宋体"/>
          <w:kern w:val="0"/>
        </w:rPr>
        <w:t>本理财计划相关信息的披露方式、渠道和频率，您可以在理财计划产品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ascii="宋体" w:hAnsi="宋体"/>
          <w:b/>
          <w:bCs/>
          <w:kern w:val="0"/>
        </w:rPr>
      </w:pPr>
      <w:r>
        <w:rPr>
          <w:rFonts w:hint="eastAsia" w:ascii="宋体" w:hAnsi="宋体"/>
          <w:b/>
          <w:bCs/>
          <w:kern w:val="0"/>
        </w:rPr>
        <w:t>五、投资者信息管理</w:t>
      </w:r>
    </w:p>
    <w:p>
      <w:pPr>
        <w:spacing w:line="360" w:lineRule="auto"/>
        <w:ind w:firstLine="420" w:firstLineChars="200"/>
        <w:rPr>
          <w:rFonts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ascii="宋体" w:hAnsi="宋体"/>
          <w:b/>
          <w:bCs/>
          <w:kern w:val="0"/>
        </w:rPr>
      </w:pPr>
      <w:r>
        <w:rPr>
          <w:rFonts w:hint="eastAsia" w:ascii="宋体" w:hAnsi="宋体"/>
          <w:b/>
          <w:bCs/>
          <w:kern w:val="0"/>
        </w:rPr>
        <w:t>六、投诉与建议</w:t>
      </w:r>
    </w:p>
    <w:p>
      <w:pPr>
        <w:numPr>
          <w:ilvl w:val="0"/>
          <w:numId w:val="24"/>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0"/>
        </w:numPr>
        <w:spacing w:line="360" w:lineRule="auto"/>
        <w:ind w:left="420" w:leftChars="0"/>
        <w:rPr>
          <w:rFonts w:ascii="宋体" w:hAnsi="宋体"/>
          <w:kern w:val="0"/>
        </w:rPr>
      </w:pPr>
      <w:r>
        <w:rPr>
          <w:rFonts w:hint="eastAsia" w:ascii="宋体" w:hAnsi="宋体"/>
          <w:kern w:val="0"/>
          <w:lang w:eastAsia="zh-CN"/>
        </w:rPr>
        <w:t>（</w:t>
      </w:r>
      <w:r>
        <w:rPr>
          <w:rFonts w:hint="eastAsia" w:ascii="宋体" w:hAnsi="宋体"/>
          <w:kern w:val="0"/>
          <w:lang w:val="en-US" w:eastAsia="zh-CN"/>
        </w:rPr>
        <w:t>二</w:t>
      </w:r>
      <w:r>
        <w:rPr>
          <w:rFonts w:hint="eastAsia" w:ascii="宋体" w:hAnsi="宋体"/>
          <w:kern w:val="0"/>
          <w:lang w:eastAsia="zh-CN"/>
        </w:rPr>
        <w:t>）</w:t>
      </w:r>
      <w:r>
        <w:rPr>
          <w:rFonts w:hint="eastAsia" w:ascii="宋体" w:hAnsi="宋体"/>
          <w:kern w:val="0"/>
        </w:rPr>
        <w:t>投诉流程及联络方式</w:t>
      </w:r>
    </w:p>
    <w:p>
      <w:pPr>
        <w:spacing w:line="360" w:lineRule="auto"/>
        <w:ind w:firstLine="420" w:firstLineChars="200"/>
        <w:rPr>
          <w:rFonts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ascii="宋体" w:hAnsi="宋体"/>
          <w:kern w:val="0"/>
          <w:lang w:val="zh-CN"/>
        </w:rPr>
      </w:pPr>
      <w:r>
        <w:rPr>
          <w:rFonts w:hint="eastAsia" w:ascii="宋体" w:hAnsi="宋体"/>
          <w:kern w:val="0"/>
        </w:rPr>
        <w:t>石嘴山银行官网网站：</w:t>
      </w:r>
      <w:r>
        <w:fldChar w:fldCharType="begin"/>
      </w:r>
      <w:r>
        <w:instrText xml:space="preserve">HYPERLINK "http://www.szsccb.com"</w:instrText>
      </w:r>
      <w:r>
        <w:fldChar w:fldCharType="separate"/>
      </w:r>
      <w:r>
        <w:rPr>
          <w:rStyle w:val="16"/>
          <w:rFonts w:hint="eastAsia" w:ascii="宋体" w:hAnsi="宋体"/>
          <w:kern w:val="0"/>
        </w:rPr>
        <w:t>www.szsccb.com</w:t>
      </w:r>
      <w: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lang w:eastAsia="zh-CN"/>
        </w:rPr>
        <w:t>（</w:t>
      </w:r>
      <w:r>
        <w:rPr>
          <w:rFonts w:hint="eastAsia" w:ascii="宋体" w:hAnsi="宋体"/>
          <w:kern w:val="0"/>
          <w:lang w:val="en-US" w:eastAsia="zh-CN"/>
        </w:rPr>
        <w:t>三</w:t>
      </w:r>
      <w:r>
        <w:rPr>
          <w:rFonts w:hint="eastAsia" w:ascii="宋体" w:hAnsi="宋体"/>
          <w:kern w:val="0"/>
          <w:lang w:eastAsia="zh-CN"/>
        </w:rPr>
        <w:t>）</w:t>
      </w:r>
      <w:r>
        <w:rPr>
          <w:rFonts w:hint="eastAsia" w:ascii="宋体" w:hAnsi="宋体"/>
          <w:kern w:val="0"/>
        </w:rPr>
        <w:t>杭银理财联络方式：</w:t>
      </w:r>
    </w:p>
    <w:p>
      <w:pPr>
        <w:pStyle w:val="35"/>
        <w:numPr>
          <w:ilvl w:val="0"/>
          <w:numId w:val="25"/>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5"/>
        <w:numPr>
          <w:ilvl w:val="0"/>
          <w:numId w:val="25"/>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pPr>
        <w:rPr>
          <w:rFonts w:ascii="Times New Roman" w:hAnsi="Times New Roman"/>
        </w:rPr>
      </w:pPr>
      <w:bookmarkStart w:id="3" w:name="_GoBack"/>
      <w:bookmarkEnd w:id="3"/>
    </w:p>
    <w:p>
      <w:pPr>
        <w:jc w:val="center"/>
        <w:rPr>
          <w:b/>
          <w:sz w:val="32"/>
          <w:szCs w:val="32"/>
        </w:rPr>
      </w:pPr>
      <w:r>
        <w:rPr>
          <w:rFonts w:hint="eastAsia"/>
          <w:b/>
          <w:sz w:val="32"/>
          <w:szCs w:val="32"/>
        </w:rPr>
        <w:br w:type="page"/>
      </w:r>
      <w:r>
        <w:rPr>
          <w:rFonts w:hint="eastAsia"/>
          <w:b/>
          <w:sz w:val="32"/>
          <w:szCs w:val="32"/>
        </w:rPr>
        <w:t>杭银理财理财计划投资协议书</w:t>
      </w:r>
    </w:p>
    <w:p>
      <w:pPr>
        <w:jc w:val="center"/>
        <w:rPr>
          <w:b/>
        </w:rPr>
      </w:pPr>
      <w:r>
        <w:rPr>
          <w:rFonts w:hint="eastAsia" w:ascii="宋体" w:hAnsi="宋体" w:cs="宋体"/>
        </w:rPr>
        <w:t>（202101版）</w:t>
      </w:r>
    </w:p>
    <w:p>
      <w:pPr>
        <w:jc w:val="center"/>
        <w:rPr>
          <w:b/>
        </w:rPr>
      </w:pPr>
    </w:p>
    <w:p>
      <w:pPr>
        <w:spacing w:line="360" w:lineRule="auto"/>
        <w:ind w:firstLine="422" w:firstLineChars="200"/>
        <w:rPr>
          <w:b/>
          <w:bCs/>
        </w:rPr>
      </w:pPr>
      <w:r>
        <w:rPr>
          <w:rFonts w:hint="eastAsia"/>
          <w:b/>
          <w:bCs/>
        </w:rPr>
        <w:t>特别提示：杭银理财理财计划投资协议书与</w:t>
      </w:r>
      <w:r>
        <w:rPr>
          <w:rFonts w:hint="eastAsia" w:cs="黑体" w:asciiTheme="minorEastAsia" w:hAnsiTheme="minorEastAsia" w:eastAsiaTheme="minorEastAsia"/>
          <w:b/>
          <w:bCs/>
        </w:rPr>
        <w:t>杭银理财理财计划销售协议书、</w:t>
      </w:r>
      <w:r>
        <w:rPr>
          <w:rFonts w:hint="eastAsia"/>
          <w:b/>
          <w:bCs/>
        </w:rPr>
        <w:t>投资者权益须知、风险揭示书及理财计划产品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pPr>
      <w:r>
        <w:rPr>
          <w:rFonts w:hint="eastAsia"/>
        </w:rPr>
        <w:t>投资者与管理人（即杭银理财有限责任公司）经平等友好协商，本着自愿、诚实信用原则，就投资者购买管理人发行的理财计划有关事宜达成如下协议（以下简称“本协议”）：</w:t>
      </w:r>
    </w:p>
    <w:p>
      <w:pPr>
        <w:numPr>
          <w:ilvl w:val="0"/>
          <w:numId w:val="26"/>
        </w:numPr>
        <w:spacing w:line="360" w:lineRule="auto"/>
        <w:ind w:firstLine="422" w:firstLineChars="200"/>
        <w:rPr>
          <w:rFonts w:ascii="宋体" w:hAnsi="宋体" w:cs="宋体"/>
          <w:b/>
          <w:bCs/>
        </w:rPr>
      </w:pPr>
      <w:r>
        <w:rPr>
          <w:rFonts w:hint="eastAsia" w:ascii="宋体" w:hAnsi="宋体" w:cs="宋体"/>
          <w:b/>
          <w:bCs/>
        </w:rPr>
        <w:t>名词释义</w:t>
      </w:r>
    </w:p>
    <w:p>
      <w:pPr>
        <w:spacing w:line="360" w:lineRule="auto"/>
        <w:ind w:firstLine="420" w:firstLineChars="200"/>
        <w:rPr>
          <w:rFonts w:ascii="宋体" w:hAnsi="宋体" w:cs="宋体"/>
          <w:bCs/>
        </w:rPr>
      </w:pPr>
      <w:r>
        <w:rPr>
          <w:rFonts w:hint="eastAsia" w:ascii="宋体" w:hAnsi="宋体" w:cs="宋体"/>
          <w:bCs/>
        </w:rPr>
        <w:t>详见理财计划产品说明书“释义”部分。</w:t>
      </w:r>
    </w:p>
    <w:p>
      <w:pPr>
        <w:spacing w:line="360" w:lineRule="auto"/>
        <w:ind w:firstLine="420" w:firstLineChars="200"/>
        <w:rPr>
          <w:rFonts w:ascii="宋体" w:hAnsi="宋体" w:cs="宋体"/>
          <w:bCs/>
        </w:rPr>
      </w:pPr>
    </w:p>
    <w:p>
      <w:pPr>
        <w:numPr>
          <w:ilvl w:val="0"/>
          <w:numId w:val="26"/>
        </w:numPr>
        <w:spacing w:line="360" w:lineRule="auto"/>
        <w:ind w:firstLine="422" w:firstLineChars="200"/>
        <w:rPr>
          <w:rFonts w:ascii="宋体" w:hAnsi="宋体" w:cs="宋体"/>
          <w:b/>
        </w:rPr>
      </w:pPr>
      <w:r>
        <w:rPr>
          <w:rFonts w:hint="eastAsia" w:ascii="宋体" w:hAnsi="宋体" w:cs="宋体"/>
          <w:b/>
        </w:rPr>
        <w:t>投资者权利与义务</w:t>
      </w:r>
    </w:p>
    <w:p>
      <w:pPr>
        <w:widowControl/>
        <w:numPr>
          <w:ilvl w:val="0"/>
          <w:numId w:val="27"/>
        </w:numPr>
        <w:spacing w:line="360" w:lineRule="auto"/>
        <w:contextualSpacing/>
        <w:rPr>
          <w:rFonts w:ascii="宋体" w:hAnsi="宋体" w:cs="宋体"/>
        </w:rPr>
      </w:pPr>
      <w:r>
        <w:rPr>
          <w:rFonts w:hint="eastAsia" w:ascii="宋体" w:hAnsi="宋体" w:cs="宋体"/>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numPr>
          <w:ilvl w:val="0"/>
          <w:numId w:val="27"/>
        </w:numPr>
        <w:spacing w:line="360" w:lineRule="auto"/>
        <w:contextualSpacing/>
        <w:rPr>
          <w:rFonts w:ascii="宋体" w:hAnsi="宋体" w:cs="宋体"/>
        </w:rPr>
      </w:pPr>
      <w:r>
        <w:rPr>
          <w:rFonts w:hint="eastAsia" w:ascii="宋体" w:hAnsi="宋体" w:cs="宋体"/>
        </w:rPr>
        <w:t>投资者保证自身完全了解理财投资的性质，投资所涉及的风险以及自身风险承受能力，在慎重考虑后独立作出交易决定。</w:t>
      </w:r>
    </w:p>
    <w:p>
      <w:pPr>
        <w:widowControl/>
        <w:numPr>
          <w:ilvl w:val="0"/>
          <w:numId w:val="27"/>
        </w:numPr>
        <w:spacing w:line="360" w:lineRule="auto"/>
        <w:contextualSpacing/>
        <w:rPr>
          <w:rFonts w:ascii="宋体" w:hAnsi="宋体" w:cs="宋体"/>
        </w:rPr>
      </w:pPr>
      <w:r>
        <w:rPr>
          <w:rFonts w:hint="eastAsia" w:ascii="宋体" w:hAnsi="宋体" w:cs="宋体"/>
        </w:rPr>
        <w:t>投资者保证其有权利签署本协议和履行本协议所述的义务，并已为此采取一切所需的行为。</w:t>
      </w:r>
    </w:p>
    <w:p>
      <w:pPr>
        <w:widowControl/>
        <w:numPr>
          <w:ilvl w:val="0"/>
          <w:numId w:val="27"/>
        </w:numPr>
        <w:spacing w:line="360" w:lineRule="auto"/>
        <w:contextualSpacing/>
        <w:rPr>
          <w:rFonts w:ascii="宋体" w:hAnsi="宋体" w:cs="宋体"/>
        </w:rPr>
      </w:pPr>
      <w:r>
        <w:rPr>
          <w:rFonts w:hint="eastAsia" w:ascii="宋体" w:hAnsi="宋体" w:cs="宋体"/>
        </w:rPr>
        <w:t>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numPr>
          <w:ilvl w:val="0"/>
          <w:numId w:val="27"/>
        </w:numPr>
        <w:spacing w:line="360" w:lineRule="auto"/>
        <w:contextualSpacing/>
        <w:rPr>
          <w:rFonts w:ascii="宋体" w:hAnsi="宋体" w:cs="宋体"/>
        </w:rPr>
      </w:pPr>
      <w:r>
        <w:rPr>
          <w:rFonts w:hint="eastAsia" w:ascii="宋体" w:hAnsi="宋体" w:cs="宋体"/>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numPr>
          <w:ilvl w:val="0"/>
          <w:numId w:val="27"/>
        </w:numPr>
        <w:spacing w:line="360" w:lineRule="auto"/>
        <w:contextualSpacing/>
        <w:rPr>
          <w:rFonts w:ascii="宋体" w:hAnsi="宋体" w:cs="宋体"/>
        </w:rPr>
      </w:pPr>
      <w:r>
        <w:rPr>
          <w:rFonts w:hint="eastAsia" w:ascii="宋体" w:hAnsi="宋体" w:cs="宋体"/>
        </w:rPr>
        <w:t xml:space="preserve">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numPr>
          <w:ilvl w:val="0"/>
          <w:numId w:val="27"/>
        </w:numPr>
        <w:spacing w:line="360" w:lineRule="auto"/>
        <w:contextualSpacing/>
        <w:rPr>
          <w:rFonts w:ascii="宋体" w:hAnsi="宋体" w:cs="宋体"/>
        </w:rPr>
      </w:pPr>
      <w:r>
        <w:rPr>
          <w:rFonts w:hint="eastAsia" w:ascii="宋体" w:hAnsi="宋体" w:cs="宋体"/>
        </w:rPr>
        <w:t>本协议终止前，投资者不得将授权指定账户销户。若发生因投资者注销授权指定账户造成理财计划无法正常兑付的，管理人不承担任何责任。</w:t>
      </w:r>
    </w:p>
    <w:p>
      <w:pPr>
        <w:widowControl/>
        <w:numPr>
          <w:ilvl w:val="0"/>
          <w:numId w:val="27"/>
        </w:numPr>
        <w:spacing w:line="360" w:lineRule="auto"/>
        <w:contextualSpacing/>
        <w:rPr>
          <w:rFonts w:ascii="宋体" w:hAnsi="宋体" w:cs="宋体"/>
        </w:rPr>
      </w:pPr>
      <w:r>
        <w:rPr>
          <w:rFonts w:hint="eastAsia" w:ascii="宋体" w:hAnsi="宋体" w:cs="宋体"/>
        </w:rPr>
        <w:t xml:space="preserve">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numPr>
          <w:ilvl w:val="0"/>
          <w:numId w:val="27"/>
        </w:numPr>
        <w:spacing w:line="360" w:lineRule="auto"/>
        <w:contextualSpacing/>
        <w:rPr>
          <w:rFonts w:ascii="宋体" w:hAnsi="宋体" w:cs="宋体"/>
        </w:rPr>
      </w:pPr>
      <w:r>
        <w:rPr>
          <w:rFonts w:hint="eastAsia" w:ascii="宋体" w:hAnsi="宋体" w:cs="宋体"/>
        </w:rPr>
        <w:t xml:space="preserve">投资者进行投资时，应严格遵守反洗钱相关法规的规定，切实履行反洗钱及反恐怖融资义务。 </w:t>
      </w:r>
    </w:p>
    <w:p>
      <w:pPr>
        <w:spacing w:line="360" w:lineRule="auto"/>
        <w:ind w:left="482"/>
        <w:rPr>
          <w:rFonts w:ascii="宋体" w:hAnsi="宋体" w:cs="宋体"/>
          <w:b/>
        </w:rPr>
      </w:pPr>
    </w:p>
    <w:p>
      <w:pPr>
        <w:numPr>
          <w:ilvl w:val="0"/>
          <w:numId w:val="26"/>
        </w:numPr>
        <w:spacing w:line="360" w:lineRule="auto"/>
        <w:ind w:firstLine="422" w:firstLineChars="200"/>
        <w:rPr>
          <w:rFonts w:ascii="宋体" w:hAnsi="宋体" w:cs="宋体"/>
          <w:b/>
        </w:rPr>
      </w:pPr>
      <w:r>
        <w:rPr>
          <w:rFonts w:hint="eastAsia" w:ascii="宋体" w:hAnsi="宋体" w:cs="宋体"/>
          <w:b/>
        </w:rPr>
        <w:t>管理人权利与义务</w:t>
      </w:r>
    </w:p>
    <w:p>
      <w:pPr>
        <w:widowControl/>
        <w:numPr>
          <w:ilvl w:val="0"/>
          <w:numId w:val="28"/>
        </w:numPr>
        <w:spacing w:line="360" w:lineRule="auto"/>
        <w:contextualSpacing/>
        <w:rPr>
          <w:rFonts w:ascii="宋体" w:hAnsi="宋体" w:cs="宋体"/>
        </w:rPr>
      </w:pPr>
      <w:r>
        <w:rPr>
          <w:rFonts w:hint="eastAsia" w:ascii="宋体" w:hAnsi="宋体" w:cs="宋体"/>
        </w:rPr>
        <w:t xml:space="preserve">管理人应当诚实守信、勤勉尽责地履行受人之托、代人理财职责。 </w:t>
      </w:r>
    </w:p>
    <w:p>
      <w:pPr>
        <w:widowControl/>
        <w:numPr>
          <w:ilvl w:val="0"/>
          <w:numId w:val="28"/>
        </w:numPr>
        <w:spacing w:line="360" w:lineRule="auto"/>
        <w:contextualSpacing/>
        <w:rPr>
          <w:rFonts w:ascii="宋体" w:hAnsi="宋体" w:cs="宋体"/>
        </w:rPr>
      </w:pPr>
      <w:r>
        <w:rPr>
          <w:rFonts w:hint="eastAsia" w:ascii="宋体" w:hAnsi="宋体" w:cs="宋体"/>
        </w:rPr>
        <w:t xml:space="preserve">管理人应当按照理财计划销售文件的约定收取管理费用、确定收益分配方案、向投资者分配收益。 </w:t>
      </w:r>
    </w:p>
    <w:p>
      <w:pPr>
        <w:widowControl/>
        <w:numPr>
          <w:ilvl w:val="0"/>
          <w:numId w:val="28"/>
        </w:numPr>
        <w:spacing w:line="360" w:lineRule="auto"/>
        <w:contextualSpacing/>
        <w:rPr>
          <w:rFonts w:ascii="宋体" w:hAnsi="宋体" w:cs="宋体"/>
        </w:rPr>
      </w:pPr>
      <w:r>
        <w:rPr>
          <w:rFonts w:hint="eastAsia" w:ascii="宋体" w:hAnsi="宋体" w:cs="宋体"/>
        </w:rPr>
        <w:t xml:space="preserve">管理人应当按照理财计划销售文件的约定履行风险揭示及信息披露义务。 </w:t>
      </w:r>
    </w:p>
    <w:p>
      <w:pPr>
        <w:widowControl/>
        <w:numPr>
          <w:ilvl w:val="0"/>
          <w:numId w:val="28"/>
        </w:numPr>
        <w:spacing w:line="360" w:lineRule="auto"/>
        <w:contextualSpacing/>
        <w:rPr>
          <w:rFonts w:ascii="宋体" w:hAnsi="宋体" w:cs="宋体"/>
        </w:rPr>
      </w:pPr>
      <w:r>
        <w:rPr>
          <w:rFonts w:hint="eastAsia" w:ascii="宋体" w:hAnsi="宋体" w:cs="宋体"/>
        </w:rPr>
        <w:t xml:space="preserve">管理人应当确保理财业务与其他业务相分离，理财计划之间相分离，理财业务操作与其他业务操作相分离。 </w:t>
      </w:r>
    </w:p>
    <w:p>
      <w:pPr>
        <w:widowControl/>
        <w:numPr>
          <w:ilvl w:val="0"/>
          <w:numId w:val="28"/>
        </w:numPr>
        <w:spacing w:line="360" w:lineRule="auto"/>
        <w:contextualSpacing/>
        <w:rPr>
          <w:rFonts w:ascii="宋体" w:hAnsi="宋体" w:cs="宋体"/>
        </w:rPr>
      </w:pPr>
      <w:r>
        <w:rPr>
          <w:rFonts w:hint="eastAsia" w:ascii="宋体" w:hAnsi="宋体" w:cs="宋体"/>
        </w:rPr>
        <w:t>管理人不得将理财计划财产归入其自有资产，因依法解散、被依法撤销或者被依法宣告破产等原因进行清算的，理财计划财产不属于其清算财产。</w:t>
      </w:r>
    </w:p>
    <w:p>
      <w:pPr>
        <w:widowControl/>
        <w:numPr>
          <w:ilvl w:val="0"/>
          <w:numId w:val="28"/>
        </w:numPr>
        <w:spacing w:line="360" w:lineRule="auto"/>
        <w:contextualSpacing/>
        <w:rPr>
          <w:rFonts w:ascii="宋体" w:hAnsi="宋体" w:cs="宋体"/>
        </w:rPr>
      </w:pPr>
      <w:r>
        <w:rPr>
          <w:rFonts w:hint="eastAsia" w:ascii="宋体" w:hAnsi="宋体" w:cs="宋体"/>
        </w:rPr>
        <w:t xml:space="preserve">管理人应当选择具有证券投资基金托管业务资格的金融机构、银行业理财登记托管机构或者国务院银行业监督管理机构认可的其他机构托管理财计划。 </w:t>
      </w:r>
    </w:p>
    <w:p>
      <w:pPr>
        <w:widowControl/>
        <w:numPr>
          <w:ilvl w:val="0"/>
          <w:numId w:val="28"/>
        </w:numPr>
        <w:spacing w:line="360" w:lineRule="auto"/>
        <w:contextualSpacing/>
        <w:rPr>
          <w:rFonts w:ascii="宋体" w:hAnsi="宋体" w:cs="宋体"/>
        </w:rPr>
      </w:pPr>
      <w:r>
        <w:rPr>
          <w:rFonts w:hint="eastAsia" w:ascii="宋体" w:hAnsi="宋体" w:cs="宋体"/>
        </w:rPr>
        <w:t xml:space="preserve">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numPr>
          <w:ilvl w:val="0"/>
          <w:numId w:val="28"/>
        </w:numPr>
        <w:spacing w:line="360" w:lineRule="auto"/>
        <w:contextualSpacing/>
        <w:rPr>
          <w:rFonts w:ascii="宋体" w:hAnsi="宋体" w:cs="宋体"/>
        </w:rPr>
      </w:pPr>
      <w:r>
        <w:rPr>
          <w:rFonts w:hint="eastAsia" w:ascii="宋体" w:hAnsi="宋体" w:cs="宋体"/>
        </w:rPr>
        <w:t xml:space="preserve">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numPr>
          <w:ilvl w:val="0"/>
          <w:numId w:val="28"/>
        </w:numPr>
        <w:spacing w:line="360" w:lineRule="auto"/>
        <w:contextualSpacing/>
        <w:rPr>
          <w:rFonts w:ascii="宋体" w:hAnsi="宋体" w:cs="宋体"/>
        </w:rPr>
      </w:pPr>
      <w:r>
        <w:rPr>
          <w:rFonts w:hint="eastAsia" w:ascii="宋体" w:hAnsi="宋体" w:cs="宋体"/>
        </w:rPr>
        <w:t xml:space="preserve">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ascii="宋体" w:hAnsi="宋体" w:cs="宋体"/>
          <w:b/>
        </w:rPr>
      </w:pPr>
    </w:p>
    <w:p>
      <w:pPr>
        <w:numPr>
          <w:ilvl w:val="0"/>
          <w:numId w:val="26"/>
        </w:numPr>
        <w:spacing w:line="360" w:lineRule="auto"/>
        <w:ind w:firstLine="422" w:firstLineChars="200"/>
        <w:rPr>
          <w:rFonts w:ascii="宋体" w:hAnsi="宋体" w:cs="宋体"/>
          <w:b/>
        </w:rPr>
      </w:pPr>
      <w:r>
        <w:rPr>
          <w:rFonts w:hint="eastAsia" w:ascii="宋体" w:hAnsi="宋体" w:cs="宋体"/>
          <w:b/>
        </w:rPr>
        <w:t>理财计划认（申）购、赎回及终止</w:t>
      </w:r>
    </w:p>
    <w:p>
      <w:pPr>
        <w:widowControl/>
        <w:numPr>
          <w:ilvl w:val="0"/>
          <w:numId w:val="29"/>
        </w:numPr>
        <w:spacing w:line="360" w:lineRule="auto"/>
        <w:contextualSpacing/>
        <w:rPr>
          <w:rFonts w:ascii="宋体" w:hAnsi="宋体" w:cs="宋体"/>
        </w:rPr>
      </w:pPr>
      <w:r>
        <w:rPr>
          <w:rFonts w:hint="eastAsia" w:ascii="宋体" w:hAnsi="宋体" w:cs="宋体"/>
        </w:rPr>
        <w:t xml:space="preserve">理财计划认/申购办理流程：参照《投资者权益须知》约定。 </w:t>
      </w:r>
    </w:p>
    <w:p>
      <w:pPr>
        <w:widowControl/>
        <w:numPr>
          <w:ilvl w:val="0"/>
          <w:numId w:val="29"/>
        </w:numPr>
        <w:spacing w:line="360" w:lineRule="auto"/>
        <w:contextualSpacing/>
        <w:rPr>
          <w:rFonts w:ascii="宋体" w:hAnsi="宋体" w:cs="宋体"/>
        </w:rPr>
      </w:pPr>
      <w:r>
        <w:rPr>
          <w:rFonts w:hint="eastAsia" w:ascii="宋体" w:hAnsi="宋体" w:cs="宋体"/>
        </w:rPr>
        <w:t>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numPr>
          <w:ilvl w:val="0"/>
          <w:numId w:val="29"/>
        </w:numPr>
        <w:spacing w:line="360" w:lineRule="auto"/>
        <w:contextualSpacing/>
        <w:rPr>
          <w:rFonts w:ascii="宋体" w:hAnsi="宋体" w:cs="宋体"/>
        </w:rPr>
      </w:pPr>
      <w:r>
        <w:rPr>
          <w:rFonts w:hint="eastAsia" w:ascii="宋体" w:hAnsi="宋体" w:cs="宋体"/>
        </w:rPr>
        <w:t xml:space="preserve">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numPr>
          <w:ilvl w:val="0"/>
          <w:numId w:val="29"/>
        </w:numPr>
        <w:spacing w:line="360" w:lineRule="auto"/>
        <w:contextualSpacing/>
        <w:rPr>
          <w:rFonts w:ascii="宋体" w:hAnsi="宋体" w:cs="宋体"/>
        </w:rPr>
      </w:pPr>
      <w:r>
        <w:rPr>
          <w:rFonts w:hint="eastAsia" w:ascii="宋体" w:hAnsi="宋体" w:cs="宋体"/>
        </w:rPr>
        <w:t xml:space="preserve">理财计划投资品种、投资起点金额、收益支付方式：参照对应期次的《理财计划产品说明书》中的条款约定。 </w:t>
      </w:r>
    </w:p>
    <w:p>
      <w:pPr>
        <w:widowControl/>
        <w:numPr>
          <w:ilvl w:val="0"/>
          <w:numId w:val="29"/>
        </w:numPr>
        <w:spacing w:line="360" w:lineRule="auto"/>
        <w:contextualSpacing/>
        <w:rPr>
          <w:rFonts w:ascii="宋体" w:hAnsi="宋体" w:cs="宋体"/>
        </w:rPr>
      </w:pPr>
      <w:r>
        <w:rPr>
          <w:rFonts w:hint="eastAsia" w:ascii="宋体" w:hAnsi="宋体" w:cs="宋体"/>
        </w:rPr>
        <w:t>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numPr>
          <w:ilvl w:val="0"/>
          <w:numId w:val="29"/>
        </w:numPr>
        <w:spacing w:line="360" w:lineRule="auto"/>
        <w:contextualSpacing/>
        <w:rPr>
          <w:rFonts w:ascii="宋体" w:hAnsi="宋体" w:cs="宋体"/>
        </w:rPr>
      </w:pPr>
      <w:r>
        <w:rPr>
          <w:rFonts w:hint="eastAsia" w:ascii="宋体" w:hAnsi="宋体" w:cs="宋体"/>
        </w:rPr>
        <w:t>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ascii="宋体" w:hAnsi="宋体" w:cs="宋体"/>
          <w:b/>
        </w:rPr>
      </w:pPr>
    </w:p>
    <w:p>
      <w:pPr>
        <w:numPr>
          <w:ilvl w:val="0"/>
          <w:numId w:val="26"/>
        </w:numPr>
        <w:spacing w:line="360" w:lineRule="auto"/>
        <w:ind w:firstLine="422" w:firstLineChars="200"/>
        <w:rPr>
          <w:rFonts w:ascii="宋体" w:hAnsi="宋体" w:cs="宋体"/>
          <w:b/>
        </w:rPr>
      </w:pPr>
      <w:r>
        <w:rPr>
          <w:rFonts w:hint="eastAsia" w:ascii="宋体" w:hAnsi="宋体" w:cs="宋体"/>
          <w:b/>
        </w:rPr>
        <w:t>税收处理</w:t>
      </w:r>
    </w:p>
    <w:p>
      <w:pPr>
        <w:widowControl/>
        <w:spacing w:line="360" w:lineRule="auto"/>
        <w:ind w:firstLine="420" w:firstLineChars="200"/>
        <w:contextualSpacing/>
        <w:rPr>
          <w:rFonts w:ascii="宋体" w:hAnsi="宋体" w:cs="宋体"/>
        </w:rPr>
      </w:pPr>
      <w:r>
        <w:rPr>
          <w:rFonts w:hint="eastAsia" w:ascii="宋体" w:hAnsi="宋体" w:cs="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ascii="宋体" w:hAnsi="宋体" w:cs="宋体"/>
        </w:rPr>
      </w:pPr>
    </w:p>
    <w:p>
      <w:pPr>
        <w:numPr>
          <w:ilvl w:val="0"/>
          <w:numId w:val="26"/>
        </w:numPr>
        <w:spacing w:line="360" w:lineRule="auto"/>
        <w:ind w:firstLine="422" w:firstLineChars="200"/>
        <w:rPr>
          <w:rFonts w:ascii="宋体" w:hAnsi="宋体" w:cs="宋体"/>
          <w:b/>
        </w:rPr>
      </w:pPr>
      <w:r>
        <w:rPr>
          <w:rFonts w:hint="eastAsia" w:ascii="宋体" w:hAnsi="宋体" w:cs="宋体"/>
          <w:b/>
        </w:rPr>
        <w:t>违约责任及免责条款</w:t>
      </w:r>
    </w:p>
    <w:p>
      <w:pPr>
        <w:widowControl/>
        <w:numPr>
          <w:ilvl w:val="0"/>
          <w:numId w:val="30"/>
        </w:numPr>
        <w:spacing w:line="360" w:lineRule="auto"/>
        <w:contextualSpacing/>
        <w:rPr>
          <w:rFonts w:ascii="宋体" w:hAnsi="宋体" w:cs="宋体"/>
        </w:rPr>
      </w:pPr>
      <w:r>
        <w:rPr>
          <w:rFonts w:hint="eastAsia" w:ascii="宋体" w:hAnsi="宋体" w:cs="宋体"/>
        </w:rPr>
        <w:t>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numPr>
          <w:ilvl w:val="0"/>
          <w:numId w:val="30"/>
        </w:numPr>
        <w:spacing w:line="360" w:lineRule="auto"/>
        <w:contextualSpacing/>
        <w:rPr>
          <w:rFonts w:ascii="宋体" w:hAnsi="宋体" w:cs="宋体"/>
        </w:rPr>
      </w:pPr>
      <w:r>
        <w:rPr>
          <w:rFonts w:hint="eastAsia" w:ascii="宋体" w:hAnsi="宋体" w:cs="宋体"/>
        </w:rPr>
        <w:t>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numPr>
          <w:ilvl w:val="0"/>
          <w:numId w:val="30"/>
        </w:numPr>
        <w:spacing w:line="360" w:lineRule="auto"/>
        <w:contextualSpacing/>
        <w:rPr>
          <w:rFonts w:ascii="宋体" w:hAnsi="宋体" w:cs="宋体"/>
        </w:rPr>
      </w:pPr>
      <w:r>
        <w:rPr>
          <w:rFonts w:hint="eastAsia" w:ascii="宋体" w:hAnsi="宋体" w:cs="宋体"/>
        </w:rPr>
        <w:t>若由于管理人过错导致理财计划资产发生损失，管理人应按其过错承担赔偿责任，管理人赔偿的款项计入本理财计划的资产和收益，由所有投资者按理财本金比例分配。</w:t>
      </w:r>
    </w:p>
    <w:p>
      <w:pPr>
        <w:widowControl/>
        <w:numPr>
          <w:ilvl w:val="0"/>
          <w:numId w:val="30"/>
        </w:numPr>
        <w:spacing w:line="360" w:lineRule="auto"/>
        <w:contextualSpacing/>
        <w:rPr>
          <w:rFonts w:ascii="宋体" w:hAnsi="宋体" w:cs="宋体"/>
        </w:rPr>
      </w:pPr>
      <w:r>
        <w:rPr>
          <w:rFonts w:hint="eastAsia" w:ascii="宋体" w:hAnsi="宋体" w:cs="宋体"/>
        </w:rPr>
        <w:t>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numPr>
          <w:ilvl w:val="0"/>
          <w:numId w:val="30"/>
        </w:numPr>
        <w:spacing w:line="360" w:lineRule="auto"/>
        <w:contextualSpacing/>
        <w:rPr>
          <w:rFonts w:ascii="宋体" w:hAnsi="宋体" w:cs="宋体"/>
        </w:rPr>
      </w:pPr>
      <w:r>
        <w:rPr>
          <w:rFonts w:hint="eastAsia" w:ascii="宋体" w:hAnsi="宋体" w:cs="宋体"/>
        </w:rPr>
        <w:t>因国家有关法律、法规、规章、政策的修改或新的法律、法规、规章、政策颁布以及紧急措施的出台导致的风险及损失，管理人不承担责任。</w:t>
      </w:r>
    </w:p>
    <w:p>
      <w:pPr>
        <w:widowControl/>
        <w:numPr>
          <w:ilvl w:val="0"/>
          <w:numId w:val="30"/>
        </w:numPr>
        <w:spacing w:line="360" w:lineRule="auto"/>
        <w:contextualSpacing/>
        <w:rPr>
          <w:rFonts w:ascii="宋体" w:hAnsi="宋体" w:cs="宋体"/>
        </w:rPr>
      </w:pPr>
      <w:r>
        <w:rPr>
          <w:rFonts w:hint="eastAsia" w:ascii="宋体" w:hAnsi="宋体" w:cs="宋体"/>
        </w:rPr>
        <w:t>管理人若严格按照产品说明书相关规定进行投资运作，给投资者造成损失的，应免除管理人责任。</w:t>
      </w:r>
    </w:p>
    <w:p>
      <w:pPr>
        <w:widowControl/>
        <w:spacing w:line="360" w:lineRule="auto"/>
        <w:contextualSpacing/>
        <w:rPr>
          <w:rFonts w:ascii="宋体" w:hAnsi="宋体" w:cs="宋体"/>
        </w:rPr>
      </w:pPr>
    </w:p>
    <w:p>
      <w:pPr>
        <w:numPr>
          <w:ilvl w:val="0"/>
          <w:numId w:val="26"/>
        </w:numPr>
        <w:spacing w:line="360" w:lineRule="auto"/>
        <w:ind w:firstLine="422" w:firstLineChars="200"/>
        <w:rPr>
          <w:rFonts w:ascii="宋体" w:hAnsi="宋体" w:cs="宋体"/>
          <w:b/>
        </w:rPr>
      </w:pPr>
      <w:r>
        <w:rPr>
          <w:rFonts w:hint="eastAsia" w:ascii="宋体" w:hAnsi="宋体" w:cs="宋体"/>
          <w:b/>
        </w:rPr>
        <w:t>适用法律与争议解决</w:t>
      </w:r>
    </w:p>
    <w:p>
      <w:pPr>
        <w:widowControl/>
        <w:spacing w:line="360" w:lineRule="auto"/>
        <w:ind w:firstLine="420" w:firstLineChars="200"/>
        <w:contextualSpacing/>
        <w:rPr>
          <w:rFonts w:ascii="宋体" w:hAnsi="宋体" w:cs="宋体"/>
        </w:rPr>
      </w:pPr>
      <w:r>
        <w:rPr>
          <w:rFonts w:hint="eastAsia" w:ascii="宋体" w:hAnsi="宋体" w:cs="宋体"/>
        </w:rPr>
        <w:t>本合同适用</w:t>
      </w:r>
      <w:r>
        <w:rPr>
          <w:rFonts w:hint="eastAsia" w:ascii="宋体" w:hAnsi="宋体" w:cs="宋体"/>
          <w:bCs/>
          <w:color w:val="000000"/>
        </w:rPr>
        <w:t>中华人民共和国（仅为明确本合同适用法律规则，不含香港特别行政区、澳门特别行政区及中国台湾地区）</w:t>
      </w:r>
      <w:r>
        <w:rPr>
          <w:rFonts w:hint="eastAsia" w:ascii="宋体" w:hAnsi="宋体" w:cs="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ascii="宋体" w:hAnsi="宋体" w:cs="宋体"/>
          <w:b/>
        </w:rPr>
      </w:pPr>
    </w:p>
    <w:p>
      <w:pPr>
        <w:numPr>
          <w:ilvl w:val="0"/>
          <w:numId w:val="26"/>
        </w:numPr>
        <w:spacing w:line="360" w:lineRule="auto"/>
        <w:ind w:firstLine="422" w:firstLineChars="200"/>
        <w:rPr>
          <w:rFonts w:ascii="宋体" w:hAnsi="宋体" w:cs="宋体"/>
          <w:b/>
        </w:rPr>
      </w:pPr>
      <w:r>
        <w:rPr>
          <w:rFonts w:hint="eastAsia" w:ascii="宋体" w:hAnsi="宋体" w:cs="宋体"/>
          <w:b/>
        </w:rPr>
        <w:t>协议生效和终止</w:t>
      </w:r>
    </w:p>
    <w:p>
      <w:pPr>
        <w:widowControl/>
        <w:numPr>
          <w:ilvl w:val="0"/>
          <w:numId w:val="31"/>
        </w:numPr>
        <w:spacing w:line="360" w:lineRule="auto"/>
        <w:contextualSpacing/>
        <w:rPr>
          <w:rFonts w:ascii="宋体" w:hAnsi="宋体" w:cs="宋体"/>
        </w:rPr>
      </w:pPr>
      <w:r>
        <w:rPr>
          <w:rFonts w:hint="eastAsia" w:ascii="宋体" w:hAnsi="宋体" w:cs="宋体"/>
        </w:rPr>
        <w:t xml:space="preserve">投资者和管理人双方认可本协议可以纸质或电子数据等形式提交、订立或确认。 </w:t>
      </w:r>
    </w:p>
    <w:p>
      <w:pPr>
        <w:widowControl/>
        <w:numPr>
          <w:ilvl w:val="0"/>
          <w:numId w:val="31"/>
        </w:numPr>
        <w:spacing w:line="360" w:lineRule="auto"/>
        <w:contextualSpacing/>
        <w:rPr>
          <w:rFonts w:ascii="宋体" w:hAnsi="宋体" w:cs="宋体"/>
        </w:rPr>
      </w:pPr>
      <w:r>
        <w:rPr>
          <w:rFonts w:hint="eastAsia" w:ascii="宋体" w:hAnsi="宋体" w:cs="宋体"/>
        </w:rPr>
        <w:t xml:space="preserve">本协议书以纸质书面形式订立的，自投资者签字和销售机构代表管理人签署盖章之后立即生效。协议一式贰份，投资者和管理人双方各执壹份，具有同等法律效力。 </w:t>
      </w:r>
    </w:p>
    <w:p>
      <w:pPr>
        <w:widowControl/>
        <w:numPr>
          <w:ilvl w:val="0"/>
          <w:numId w:val="31"/>
        </w:numPr>
        <w:spacing w:line="360" w:lineRule="auto"/>
        <w:contextualSpacing/>
        <w:rPr>
          <w:rFonts w:ascii="宋体" w:hAnsi="宋体" w:cs="宋体"/>
        </w:rPr>
      </w:pPr>
      <w:r>
        <w:rPr>
          <w:rFonts w:hint="eastAsia" w:ascii="宋体" w:hAnsi="宋体" w:cs="宋体"/>
        </w:rPr>
        <w:t>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numPr>
          <w:ilvl w:val="0"/>
          <w:numId w:val="31"/>
        </w:numPr>
        <w:spacing w:line="360" w:lineRule="auto"/>
        <w:contextualSpacing/>
        <w:rPr>
          <w:rFonts w:ascii="宋体" w:hAnsi="宋体" w:cs="宋体"/>
        </w:rPr>
      </w:pPr>
      <w:r>
        <w:rPr>
          <w:rFonts w:hint="eastAsia" w:ascii="宋体" w:hAnsi="宋体" w:cs="宋体"/>
        </w:rPr>
        <w:t>投资者和管理人双方在本协议及对应期次的《理财计划产品说明书》项下权利义务履行完毕之日，本协议自动终止。</w:t>
      </w:r>
    </w:p>
    <w:p>
      <w:pPr>
        <w:widowControl/>
        <w:spacing w:line="360" w:lineRule="auto"/>
        <w:ind w:left="420"/>
        <w:contextualSpacing/>
        <w:rPr>
          <w:rFonts w:ascii="宋体" w:hAnsi="宋体" w:cs="宋体"/>
        </w:rPr>
      </w:pPr>
    </w:p>
    <w:p>
      <w:pPr>
        <w:numPr>
          <w:ilvl w:val="0"/>
          <w:numId w:val="26"/>
        </w:numPr>
        <w:spacing w:line="360" w:lineRule="auto"/>
        <w:ind w:firstLine="422" w:firstLineChars="200"/>
        <w:rPr>
          <w:rFonts w:ascii="宋体" w:hAnsi="宋体" w:cs="宋体"/>
          <w:b/>
        </w:rPr>
      </w:pPr>
      <w:r>
        <w:rPr>
          <w:rFonts w:hint="eastAsia" w:ascii="宋体" w:hAnsi="宋体" w:cs="宋体"/>
          <w:b/>
        </w:rPr>
        <w:t>附则</w:t>
      </w:r>
    </w:p>
    <w:p>
      <w:pPr>
        <w:widowControl/>
        <w:numPr>
          <w:ilvl w:val="0"/>
          <w:numId w:val="32"/>
        </w:numPr>
        <w:spacing w:line="360" w:lineRule="auto"/>
        <w:contextualSpacing/>
        <w:rPr>
          <w:rFonts w:ascii="宋体" w:hAnsi="宋体" w:cs="宋体"/>
        </w:rPr>
      </w:pPr>
      <w:r>
        <w:rPr>
          <w:rFonts w:hint="eastAsia" w:ascii="宋体" w:hAnsi="宋体" w:cs="宋体"/>
        </w:rPr>
        <w:t>如果投资者与管理人之间存在多份理财计划协议书，则每一协议书分别与其所对应的产品说明书等销售文本单独构成一个理财计划合同，各个合同之间互相独立，每一合同的效力及履行情况均独立于其他合同。</w:t>
      </w:r>
    </w:p>
    <w:p>
      <w:pPr>
        <w:widowControl/>
        <w:numPr>
          <w:ilvl w:val="0"/>
          <w:numId w:val="32"/>
        </w:numPr>
        <w:spacing w:line="360" w:lineRule="auto"/>
        <w:contextualSpacing/>
        <w:rPr>
          <w:rFonts w:ascii="宋体" w:hAnsi="宋体" w:cs="宋体"/>
        </w:rPr>
      </w:pPr>
      <w:r>
        <w:rPr>
          <w:rFonts w:hint="eastAsia" w:ascii="宋体" w:hAnsi="宋体" w:cs="宋体"/>
        </w:rPr>
        <w:t>如果由于任何原因使本合同下的任何条款或内容成为无效或被依法撤销，本合同其他条款或内容的合法性、有效性和可执行性不受影响。</w:t>
      </w:r>
    </w:p>
    <w:p>
      <w:pPr>
        <w:widowControl/>
        <w:numPr>
          <w:ilvl w:val="0"/>
          <w:numId w:val="32"/>
        </w:numPr>
        <w:spacing w:line="360" w:lineRule="auto"/>
        <w:contextualSpacing/>
        <w:rPr>
          <w:rFonts w:ascii="宋体" w:hAnsi="宋体" w:cs="宋体"/>
          <w:bCs/>
          <w:color w:val="000000"/>
        </w:rPr>
      </w:pPr>
      <w:r>
        <w:rPr>
          <w:rFonts w:hint="eastAsia" w:ascii="宋体" w:hAnsi="宋体" w:cs="宋体"/>
        </w:rPr>
        <w:t>在理财计划存续期内，如因监管政策或法律法规发生变化，在不损害投资者利益的前提下，管理人有权单方对理财计划合同进行修订。</w:t>
      </w:r>
    </w:p>
    <w:p>
      <w:pPr>
        <w:pStyle w:val="10"/>
        <w:widowControl/>
        <w:spacing w:line="360" w:lineRule="auto"/>
        <w:jc w:val="right"/>
        <w:rPr>
          <w:rFonts w:ascii="宋体" w:hAnsi="宋体" w:cs="宋体"/>
          <w:kern w:val="0"/>
          <w:sz w:val="21"/>
        </w:rPr>
      </w:pPr>
      <w:r>
        <w:rPr>
          <w:rFonts w:hint="eastAsia" w:ascii="宋体" w:hAnsi="宋体" w:cs="宋体"/>
          <w:kern w:val="0"/>
          <w:sz w:val="21"/>
        </w:rPr>
        <w:t>杭银理财有限责任公司</w:t>
      </w:r>
    </w:p>
    <w:p>
      <w:pPr>
        <w:jc w:val="center"/>
        <w:rPr>
          <w:rFonts w:cs="黑体"/>
          <w:b/>
          <w:bCs/>
          <w:sz w:val="44"/>
          <w:szCs w:val="44"/>
        </w:rPr>
      </w:pPr>
      <w:r>
        <w:rPr>
          <w:rFonts w:hint="eastAsia" w:ascii="宋体" w:hAnsi="宋体" w:cs="宋体"/>
          <w:kern w:val="0"/>
        </w:rPr>
        <w:br w:type="page"/>
      </w:r>
      <w:r>
        <w:rPr>
          <w:rFonts w:hint="eastAsia" w:ascii="宋体" w:hAnsi="宋体"/>
          <w:b/>
          <w:bCs/>
          <w:sz w:val="32"/>
          <w:szCs w:val="32"/>
        </w:rPr>
        <w:t>杭银理财理财计划销售协议书</w:t>
      </w:r>
    </w:p>
    <w:p>
      <w:pPr>
        <w:jc w:val="center"/>
        <w:rPr>
          <w:rFonts w:ascii="宋体" w:hAnsi="宋体" w:cs="Times New Roman"/>
        </w:rPr>
      </w:pPr>
      <w:r>
        <w:rPr>
          <w:rFonts w:hint="eastAsia" w:ascii="宋体" w:hAnsi="宋体"/>
        </w:rPr>
        <w:t>（202101版）</w:t>
      </w:r>
    </w:p>
    <w:p>
      <w:pPr>
        <w:autoSpaceDE w:val="0"/>
        <w:spacing w:line="360" w:lineRule="auto"/>
        <w:jc w:val="center"/>
      </w:pPr>
    </w:p>
    <w:p>
      <w:p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理财非存款、产品有风险、投资须谨慎，理财计划过往业绩不代表其未来表现，不等于理财计划实际收益。</w:t>
      </w:r>
    </w:p>
    <w:p>
      <w:pPr>
        <w:widowControl/>
        <w:autoSpaceDE w:val="0"/>
        <w:spacing w:line="360" w:lineRule="auto"/>
        <w:ind w:firstLine="420" w:firstLineChars="200"/>
        <w:rPr>
          <w:rFonts w:cs="黑体" w:asciiTheme="minorEastAsia" w:hAnsiTheme="minorEastAsia" w:eastAsiaTheme="minorEastAsia"/>
        </w:rPr>
      </w:pPr>
      <w:r>
        <w:rPr>
          <w:rFonts w:hint="eastAsia" w:cs="黑体" w:asciiTheme="minorEastAsia" w:hAnsiTheme="minorEastAsia" w:eastAsiaTheme="minorEastAsia"/>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cs="黑体" w:asciiTheme="minorEastAsia" w:hAnsiTheme="minorEastAsia" w:eastAsiaTheme="minorEastAsia"/>
        </w:rPr>
      </w:pPr>
      <w:r>
        <w:rPr>
          <w:rFonts w:hint="eastAsia" w:cs="黑体" w:asciiTheme="minorEastAsia" w:hAnsiTheme="minorEastAsia" w:eastAsiaTheme="minorEastAsia"/>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cs="黑体" w:asciiTheme="minorEastAsia" w:hAnsiTheme="minorEastAsia" w:eastAsiaTheme="minorEastAsia"/>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名词释义</w:t>
      </w:r>
    </w:p>
    <w:p>
      <w:pPr>
        <w:widowControl/>
        <w:autoSpaceDE w:val="0"/>
        <w:spacing w:line="360" w:lineRule="auto"/>
        <w:ind w:firstLine="420" w:firstLineChars="200"/>
        <w:jc w:val="left"/>
        <w:rPr>
          <w:rFonts w:cs="黑体" w:asciiTheme="minorEastAsia" w:hAnsiTheme="minorEastAsia" w:eastAsiaTheme="minorEastAsia"/>
        </w:rPr>
      </w:pPr>
      <w:r>
        <w:rPr>
          <w:rFonts w:hint="eastAsia" w:cs="黑体" w:asciiTheme="minorEastAsia" w:hAnsiTheme="minorEastAsia" w:eastAsiaTheme="minorEastAsia"/>
        </w:rPr>
        <w:t>详见对应期次的理财计划产品说明书“释义”部分。</w:t>
      </w:r>
    </w:p>
    <w:p>
      <w:pPr>
        <w:widowControl/>
        <w:autoSpaceDE w:val="0"/>
        <w:spacing w:line="360" w:lineRule="auto"/>
        <w:ind w:firstLine="420" w:firstLineChars="200"/>
        <w:jc w:val="left"/>
        <w:rPr>
          <w:rFonts w:cs="黑体" w:asciiTheme="minorEastAsia" w:hAnsiTheme="minorEastAsia" w:eastAsiaTheme="minorEastAsia"/>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投资者权利与义务</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cs="黑体" w:asciiTheme="minorEastAsia" w:hAnsiTheme="minorEastAsia" w:eastAsiaTheme="minorEastAsia"/>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投资者保证自身完全了解理财投资的性质，投资所涉及的风险以及自身风险承受能力，在慎重考虑后独立作出交易决定。</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b/>
          <w:bCs/>
        </w:rPr>
        <w:t>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cs="黑体" w:asciiTheme="minorEastAsia" w:hAnsiTheme="minorEastAsia" w:eastAsiaTheme="minorEastAsia"/>
        </w:rPr>
        <w:t>投资冷静期相关约定详见理财计划产品说明书。</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投资者保证其有权利签署本协议和履行本协议所述的义务，并已为此采取一切所需的行为。</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b/>
          <w:bCs/>
        </w:rPr>
        <w:t>投资者在此确认代理销售机构的系统记录以及录音、录像构成对投资者操作行为（包括但不限于购买、赎回、撤单）的有效证据，并且在双方发生争议时可以作为合法有效的证据使用</w:t>
      </w:r>
      <w:r>
        <w:rPr>
          <w:rFonts w:hint="eastAsia" w:cs="黑体" w:asciiTheme="minorEastAsia" w:hAnsiTheme="minorEastAsia" w:eastAsiaTheme="minorEastAsia"/>
        </w:rPr>
        <w:t>。</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本协议终止前，投资者不得将授权指定账户销户。若发生因投资者注销授权指定账户造成理财计划无法正常兑付的，代理销售机构不承担任何责任。</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投资者对本协议及其条款负有保密义务，未经代理销售机构书面许可，不得向任何组织、个人提供或泄露与代理销售机构有关的业务资料及信息，但法律、法规另有规定的除外。</w:t>
      </w:r>
    </w:p>
    <w:p>
      <w:pPr>
        <w:widowControl/>
        <w:numPr>
          <w:ilvl w:val="0"/>
          <w:numId w:val="34"/>
        </w:numPr>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投资者进行投资时，应严格遵守反洗钱相关法规的规定，切实履行反洗钱及反恐怖融资义务。</w:t>
      </w:r>
    </w:p>
    <w:p>
      <w:pPr>
        <w:widowControl/>
        <w:numPr>
          <w:ilvl w:val="0"/>
          <w:numId w:val="34"/>
        </w:numPr>
        <w:spacing w:line="360" w:lineRule="auto"/>
        <w:contextualSpacing/>
        <w:rPr>
          <w:rFonts w:cs="黑体" w:asciiTheme="minorEastAsia" w:hAnsiTheme="minorEastAsia" w:eastAsiaTheme="minorEastAsia"/>
          <w:b/>
          <w:bCs/>
        </w:rPr>
      </w:pPr>
      <w:r>
        <w:rPr>
          <w:rFonts w:hint="eastAsia" w:cs="黑体" w:asciiTheme="minorEastAsia" w:hAnsiTheme="minorEastAsia" w:eastAsiaTheme="minorEastAsia"/>
          <w:b/>
          <w:bCs/>
        </w:rPr>
        <w:t>投资者个人信息授权</w:t>
      </w:r>
    </w:p>
    <w:p>
      <w:pPr>
        <w:widowControl/>
        <w:spacing w:line="360" w:lineRule="auto"/>
        <w:ind w:firstLine="422" w:firstLineChars="200"/>
        <w:contextualSpacing/>
        <w:rPr>
          <w:rFonts w:cs="黑体" w:asciiTheme="minorEastAsia" w:hAnsiTheme="minorEastAsia" w:eastAsiaTheme="minorEastAsia"/>
          <w:b/>
          <w:bCs/>
        </w:rPr>
      </w:pPr>
      <w:r>
        <w:rPr>
          <w:rFonts w:hint="eastAsia" w:cs="黑体" w:asciiTheme="minorEastAsia" w:hAnsiTheme="minorEastAsia" w:eastAsiaTheme="minorEastAsia"/>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cs="黑体" w:asciiTheme="minorEastAsia" w:hAnsiTheme="minorEastAsia" w:eastAsiaTheme="minorEastAsia"/>
          <w:b/>
          <w:bCs/>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代理销售机构的权利与义务</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b/>
          <w:bCs/>
        </w:rPr>
        <w:t>代理销售机构非本计划的发行、管理机构，对本计划的业绩不承担任何保证和其他经济责任，不承担本计划的投资、兑付和风险管理责任</w:t>
      </w:r>
      <w:r>
        <w:rPr>
          <w:rFonts w:hint="eastAsia" w:cs="黑体" w:asciiTheme="minorEastAsia" w:hAnsiTheme="minorEastAsia" w:eastAsiaTheme="minorEastAsia"/>
        </w:rPr>
        <w:t>。</w:t>
      </w:r>
    </w:p>
    <w:p>
      <w:pPr>
        <w:widowControl/>
        <w:numPr>
          <w:ilvl w:val="0"/>
          <w:numId w:val="35"/>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代理销售机构应定期对购买其代理销售的理财计划的非机构投资者进行有效风险承受能力评估，并保证向投资者推介及销售与其风险承受能力匹配的产品。</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numPr>
          <w:ilvl w:val="0"/>
          <w:numId w:val="35"/>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代理销售机构应建立健全上岗资格、持续培训、信息公示与查询核实等制度并有效执行。未经代理销售机构进行上岗资格认定并签订劳动合同，任何人员不得从事理财计划销售业务活动。</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代理销售机构应对所有销售人员信息进行登记和公示。销售人员在向投资者宣传销售理财计划前进行自我介绍并告知信息查询和核实渠道，便于投资者查询核实，防止伪冒身份和虚假宣传。</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代理销售机构对投资者负有信息保密义务，未经投资者书面许可，乙方不得向任何组织、个人提供或泄露与甲方有关的业务资料及信息，但法律、法规另有规定的除外。</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代理销售机构应按照法律法规、监管规定、理财计划合同的约定收取销售费用，并如实核算、记账。未经载明，不得对不同投资者适用不同费率。</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理财计划销售结算资金属于理财计划投资者，代理销售机构不得挪用理财计划销售结算资金或将理财计划销售结算资金归入自有资产。</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代理销售机构应遵守相关法律、法规、监管规定及理财计划合同约定，诚实守信、勤勉尽责，向购买理财计划的投资者充分传递管理人披露的产品相关信息并进行充分的风险揭示。</w:t>
      </w:r>
    </w:p>
    <w:p>
      <w:pPr>
        <w:widowControl/>
        <w:numPr>
          <w:ilvl w:val="0"/>
          <w:numId w:val="35"/>
        </w:numPr>
        <w:autoSpaceDE w:val="0"/>
        <w:spacing w:line="360" w:lineRule="auto"/>
        <w:contextualSpacing/>
        <w:jc w:val="left"/>
        <w:rPr>
          <w:rFonts w:cs="黑体" w:asciiTheme="minorEastAsia" w:hAnsiTheme="minorEastAsia" w:eastAsiaTheme="minorEastAsia"/>
        </w:rPr>
      </w:pPr>
      <w:r>
        <w:rPr>
          <w:rFonts w:hint="eastAsia" w:cs="黑体" w:asciiTheme="minorEastAsia" w:hAnsiTheme="minorEastAsia" w:eastAsiaTheme="minorEastAsia"/>
        </w:rPr>
        <w:t>代理销售机构应当充分利用科技手段，加强对伪冒网站、伪冒产品等监测，有效防范各类欺诈风险。</w:t>
      </w:r>
    </w:p>
    <w:p>
      <w:pPr>
        <w:widowControl/>
        <w:autoSpaceDE w:val="0"/>
        <w:spacing w:line="360" w:lineRule="auto"/>
        <w:ind w:left="482"/>
        <w:contextualSpacing/>
        <w:jc w:val="left"/>
        <w:rPr>
          <w:rFonts w:cs="黑体" w:asciiTheme="minorEastAsia" w:hAnsiTheme="minorEastAsia" w:eastAsiaTheme="minorEastAsia"/>
          <w:b/>
          <w:bCs/>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理财计划认（申）购、赎回及终止</w:t>
      </w:r>
    </w:p>
    <w:p>
      <w:pPr>
        <w:widowControl/>
        <w:numPr>
          <w:ilvl w:val="0"/>
          <w:numId w:val="36"/>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理财计划认/申购办理流程：参照投资者权益须知约定。 </w:t>
      </w:r>
    </w:p>
    <w:p>
      <w:pPr>
        <w:widowControl/>
        <w:numPr>
          <w:ilvl w:val="0"/>
          <w:numId w:val="36"/>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理财计划认/申购确认：管理人根据代理销售渠道提供的交易信息及资金划付对投资者相应认/申购进行确认。</w:t>
      </w:r>
    </w:p>
    <w:p>
      <w:pPr>
        <w:widowControl/>
        <w:numPr>
          <w:ilvl w:val="0"/>
          <w:numId w:val="36"/>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numPr>
          <w:ilvl w:val="0"/>
          <w:numId w:val="36"/>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理财计划投资品种、投资起点金额、收益支付方式：参照对应期次的理财计划产品说明书中的条款约定。 </w:t>
      </w:r>
    </w:p>
    <w:p>
      <w:pPr>
        <w:widowControl/>
        <w:numPr>
          <w:ilvl w:val="0"/>
          <w:numId w:val="36"/>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numPr>
          <w:ilvl w:val="0"/>
          <w:numId w:val="36"/>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cs="黑体" w:asciiTheme="minorEastAsia" w:hAnsiTheme="minorEastAsia" w:eastAsiaTheme="minorEastAsia"/>
          <w:b/>
          <w:bCs/>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违约责任及免责条款</w:t>
      </w:r>
    </w:p>
    <w:p>
      <w:pPr>
        <w:widowControl/>
        <w:numPr>
          <w:ilvl w:val="0"/>
          <w:numId w:val="37"/>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numPr>
          <w:ilvl w:val="0"/>
          <w:numId w:val="37"/>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numPr>
          <w:ilvl w:val="0"/>
          <w:numId w:val="37"/>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若由于代理销售机构过错导致理财计划资产发生损失，代理销售机构应按其过错承担赔偿责任，代理销售机构赔偿的款项计入理财计划的资产和收益。</w:t>
      </w:r>
    </w:p>
    <w:p>
      <w:pPr>
        <w:widowControl/>
        <w:numPr>
          <w:ilvl w:val="0"/>
          <w:numId w:val="37"/>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numPr>
          <w:ilvl w:val="0"/>
          <w:numId w:val="37"/>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cs="黑体" w:asciiTheme="minorEastAsia" w:hAnsiTheme="minorEastAsia" w:eastAsiaTheme="minorEastAsia"/>
          <w:b/>
          <w:bCs/>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适用法律与争议解决</w:t>
      </w:r>
    </w:p>
    <w:p>
      <w:pPr>
        <w:widowControl/>
        <w:autoSpaceDE w:val="0"/>
        <w:spacing w:line="360" w:lineRule="auto"/>
        <w:ind w:firstLine="420" w:firstLineChars="200"/>
        <w:contextualSpacing/>
        <w:rPr>
          <w:rFonts w:cs="黑体" w:asciiTheme="minorEastAsia" w:hAnsiTheme="minorEastAsia" w:eastAsiaTheme="minorEastAsia"/>
        </w:rPr>
      </w:pPr>
      <w:r>
        <w:rPr>
          <w:rFonts w:hint="eastAsia" w:cs="黑体" w:asciiTheme="minorEastAsia" w:hAnsiTheme="minorEastAsia" w:eastAsiaTheme="minorEastAsia"/>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cs="黑体" w:asciiTheme="minorEastAsia" w:hAnsiTheme="minorEastAsia" w:eastAsiaTheme="minorEastAsia"/>
          <w:b/>
          <w:bCs/>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协议生效和终止</w:t>
      </w:r>
    </w:p>
    <w:p>
      <w:pPr>
        <w:widowControl/>
        <w:numPr>
          <w:ilvl w:val="0"/>
          <w:numId w:val="38"/>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投资者和代理销售机构双方认可本协议可以纸质或电子数据等形式提交、订立或确认。 </w:t>
      </w:r>
    </w:p>
    <w:p>
      <w:pPr>
        <w:widowControl/>
        <w:numPr>
          <w:ilvl w:val="0"/>
          <w:numId w:val="38"/>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 xml:space="preserve">本协议书以纸质书面形式订立的，自投资者签字和代理销售机构签章之后立即生效。协议一式叁份，投资者、管理人和代理销售机构各执壹份，具有同等法律效力。 </w:t>
      </w:r>
    </w:p>
    <w:p>
      <w:pPr>
        <w:widowControl/>
        <w:numPr>
          <w:ilvl w:val="0"/>
          <w:numId w:val="38"/>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numPr>
          <w:ilvl w:val="0"/>
          <w:numId w:val="38"/>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投资者和代理销售机构双方在本协议及对应期次的理财计划产品说明书项下权利义务履行完毕之日，本协议自动终止。</w:t>
      </w:r>
    </w:p>
    <w:p>
      <w:pPr>
        <w:widowControl/>
        <w:autoSpaceDE w:val="0"/>
        <w:spacing w:line="360" w:lineRule="auto"/>
        <w:ind w:left="420"/>
        <w:contextualSpacing/>
        <w:rPr>
          <w:rFonts w:cs="黑体" w:asciiTheme="minorEastAsia" w:hAnsiTheme="minorEastAsia" w:eastAsiaTheme="minorEastAsia"/>
        </w:rPr>
      </w:pPr>
    </w:p>
    <w:p>
      <w:pPr>
        <w:widowControl/>
        <w:numPr>
          <w:ilvl w:val="0"/>
          <w:numId w:val="33"/>
        </w:numPr>
        <w:autoSpaceDE w:val="0"/>
        <w:spacing w:line="360" w:lineRule="auto"/>
        <w:ind w:firstLine="422" w:firstLineChars="200"/>
        <w:rPr>
          <w:rFonts w:cs="黑体" w:asciiTheme="minorEastAsia" w:hAnsiTheme="minorEastAsia" w:eastAsiaTheme="minorEastAsia"/>
          <w:b/>
          <w:bCs/>
        </w:rPr>
      </w:pPr>
      <w:r>
        <w:rPr>
          <w:rFonts w:hint="eastAsia" w:cs="黑体" w:asciiTheme="minorEastAsia" w:hAnsiTheme="minorEastAsia" w:eastAsiaTheme="minorEastAsia"/>
          <w:b/>
          <w:bCs/>
        </w:rPr>
        <w:t xml:space="preserve">附则 </w:t>
      </w:r>
    </w:p>
    <w:p>
      <w:pPr>
        <w:widowControl/>
        <w:numPr>
          <w:ilvl w:val="0"/>
          <w:numId w:val="39"/>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numPr>
          <w:ilvl w:val="0"/>
          <w:numId w:val="39"/>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如果由于任何原因使本合同下的任何条款或内容成为无效或被依法撤销，本合同其他条款或内容的合法性、有效性和可执行性不受影响。</w:t>
      </w:r>
    </w:p>
    <w:p>
      <w:pPr>
        <w:widowControl/>
        <w:numPr>
          <w:ilvl w:val="0"/>
          <w:numId w:val="39"/>
        </w:numPr>
        <w:autoSpaceDE w:val="0"/>
        <w:spacing w:line="360" w:lineRule="auto"/>
        <w:contextualSpacing/>
        <w:rPr>
          <w:rFonts w:cs="黑体" w:asciiTheme="minorEastAsia" w:hAnsiTheme="minorEastAsia" w:eastAsiaTheme="minorEastAsia"/>
        </w:rPr>
      </w:pPr>
      <w:r>
        <w:rPr>
          <w:rFonts w:hint="eastAsia" w:cs="黑体" w:asciiTheme="minorEastAsia" w:hAnsiTheme="minorEastAsia" w:eastAsiaTheme="minorEastAsia"/>
        </w:rPr>
        <w:t>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cs="黑体" w:asciiTheme="minorEastAsia" w:hAnsiTheme="minorEastAsia" w:eastAsiaTheme="minorEastAsia"/>
        </w:rPr>
      </w:pPr>
    </w:p>
    <w:p>
      <w:pPr>
        <w:autoSpaceDE w:val="0"/>
        <w:spacing w:line="360" w:lineRule="auto"/>
        <w:rPr>
          <w:rFonts w:cs="Times New Roman" w:asciiTheme="minorEastAsia" w:hAnsiTheme="minorEastAsia" w:eastAsiaTheme="minorEastAsia"/>
        </w:rPr>
      </w:pPr>
    </w:p>
    <w:p>
      <w:pPr>
        <w:autoSpaceDE w:val="0"/>
        <w:spacing w:line="360" w:lineRule="auto"/>
        <w:rPr>
          <w:rFonts w:asciiTheme="minorEastAsia" w:hAnsiTheme="minorEastAsia" w:eastAsiaTheme="minorEastAsia"/>
        </w:rPr>
      </w:pPr>
    </w:p>
    <w:p>
      <w:pPr>
        <w:widowControl/>
        <w:spacing w:line="360" w:lineRule="auto"/>
        <w:jc w:val="right"/>
        <w:rPr>
          <w:rFonts w:asciiTheme="minorEastAsia" w:hAnsiTheme="minorEastAsia" w:eastAsiaTheme="minorEastAsia"/>
          <w:color w:val="000000"/>
          <w:kern w:val="0"/>
        </w:rPr>
      </w:pPr>
      <w:r>
        <w:rPr>
          <w:rFonts w:hint="eastAsia" w:asciiTheme="minorEastAsia" w:hAnsiTheme="minorEastAsia" w:eastAsiaTheme="minorEastAsia"/>
          <w:kern w:val="0"/>
        </w:rPr>
        <w:t>杭银理财有限责任公司</w:t>
      </w:r>
    </w:p>
    <w:p>
      <w:pPr>
        <w:spacing w:line="360" w:lineRule="auto"/>
        <w:rPr>
          <w:rFonts w:ascii="宋体" w:hAnsi="宋体" w:cs="黑体"/>
        </w:rPr>
      </w:pPr>
      <w:r>
        <w:rPr>
          <w:rFonts w:hint="eastAsia" w:asciiTheme="minorEastAsia" w:hAnsiTheme="minorEastAsia" w:eastAsiaTheme="minorEastAsia"/>
          <w:color w:val="000000"/>
          <w:kern w:val="0"/>
        </w:rPr>
        <w:br w:type="page"/>
      </w:r>
      <w:r>
        <w:rPr>
          <w:rFonts w:hint="eastAsia" w:ascii="宋体" w:hAnsi="宋体" w:cs="黑体"/>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rPr>
        <w:t>投资者（签字）：</w:t>
      </w:r>
    </w:p>
    <w:p>
      <w:pPr>
        <w:spacing w:beforeLines="50" w:afterLines="50" w:line="360" w:lineRule="auto"/>
        <w:ind w:firstLine="4200" w:firstLineChars="2000"/>
        <w:jc w:val="right"/>
        <w:rPr>
          <w:rFonts w:ascii="Arial" w:hAnsi="Arial"/>
        </w:rPr>
      </w:pPr>
      <w:r>
        <w:rPr>
          <w:rFonts w:hint="eastAsia" w:ascii="Arial" w:hAnsi="Arial"/>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Lines="50" w:afterLines="50" w:line="360" w:lineRule="auto"/>
        <w:ind w:firstLine="4200" w:firstLineChars="2000"/>
        <w:jc w:val="right"/>
        <w:rPr>
          <w:rFonts w:ascii="Arial" w:hAnsi="Arial"/>
        </w:rPr>
      </w:pPr>
      <w:r>
        <w:rPr>
          <w:rFonts w:hint="eastAsia" w:ascii="Arial" w:hAnsi="Arial"/>
        </w:rPr>
        <w:t xml:space="preserve">   年   月   日</w:t>
      </w:r>
    </w:p>
    <w:p>
      <w:pPr>
        <w:spacing w:line="360" w:lineRule="auto"/>
        <w:rPr>
          <w:rFonts w:ascii="宋体" w:hAnsi="宋体" w:cs="黑体"/>
          <w:b/>
          <w:bCs/>
          <w:sz w:val="28"/>
          <w:szCs w:val="28"/>
        </w:rPr>
      </w:pPr>
    </w:p>
    <w:p>
      <w:pPr>
        <w:pStyle w:val="10"/>
        <w:widowControl/>
        <w:spacing w:line="360" w:lineRule="auto"/>
        <w:jc w:val="left"/>
        <w:rPr>
          <w:rFonts w:asciiTheme="minorEastAsia" w:hAnsiTheme="minorEastAsia" w:eastAsiaTheme="minorEastAsia"/>
          <w:color w:val="000000"/>
          <w:kern w:val="0"/>
          <w:sz w:val="21"/>
        </w:rPr>
      </w:pPr>
    </w:p>
    <w:p>
      <w:pPr>
        <w:rPr>
          <w:rFonts w:ascii="Times New Roman" w:hAnsi="Times New Roman"/>
        </w:rPr>
      </w:pPr>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pStyle w:val="10"/>
        <w:widowControl/>
        <w:spacing w:line="360" w:lineRule="auto"/>
        <w:jc w:val="right"/>
        <w:rPr>
          <w:rFonts w:ascii="宋体" w:hAnsi="宋体" w:cs="宋体"/>
          <w:kern w:val="0"/>
          <w:sz w:val="21"/>
        </w:rPr>
      </w:pPr>
    </w:p>
    <w:p>
      <w:pPr>
        <w:pStyle w:val="10"/>
        <w:widowControl/>
        <w:spacing w:line="360" w:lineRule="auto"/>
        <w:jc w:val="right"/>
        <w:rPr>
          <w:rFonts w:ascii="宋体" w:hAnsi="宋体" w:cs="宋体"/>
          <w:kern w:val="0"/>
          <w:sz w:val="21"/>
        </w:rPr>
      </w:pPr>
    </w:p>
    <w:sectPr>
      <w:footerReference r:id="rId3" w:type="default"/>
      <w:pgSz w:w="11906" w:h="16838"/>
      <w:pgMar w:top="1440" w:right="1486"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12" o:spid="_x0000_s4097" o:spt="202" type="#_x0000_t202" style="position:absolute;left:0pt;margin-top:0pt;height:12.8pt;width:10.65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cs="Times New Roman"/>
                    <w:sz w:val="18"/>
                    <w:szCs w:val="18"/>
                  </w:rPr>
                </w:pPr>
                <w:r>
                  <w:fldChar w:fldCharType="begin"/>
                </w:r>
                <w:r>
                  <w:instrText xml:space="preserve"> PAGE  \* MERGEFORMAT </w:instrText>
                </w:r>
                <w:r>
                  <w:fldChar w:fldCharType="separate"/>
                </w:r>
                <w:r>
                  <w:t>7</w:t>
                </w:r>
                <w:r>
                  <w:fldChar w:fldCharType="end"/>
                </w:r>
              </w:p>
            </w:txbxContent>
          </v:textbox>
          <w10:anchorlock/>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8226EF"/>
    <w:multiLevelType w:val="singleLevel"/>
    <w:tmpl w:val="B08226EF"/>
    <w:lvl w:ilvl="0" w:tentative="0">
      <w:start w:val="1"/>
      <w:numFmt w:val="chineseCounting"/>
      <w:suff w:val="space"/>
      <w:lvlText w:val="第%1条"/>
      <w:lvlJc w:val="left"/>
      <w:rPr>
        <w:rFonts w:hint="eastAsia"/>
      </w:rPr>
    </w:lvl>
  </w:abstractNum>
  <w:abstractNum w:abstractNumId="1">
    <w:nsid w:val="D8BBA51B"/>
    <w:multiLevelType w:val="singleLevel"/>
    <w:tmpl w:val="D8BBA51B"/>
    <w:lvl w:ilvl="0" w:tentative="0">
      <w:start w:val="11"/>
      <w:numFmt w:val="chineseCounting"/>
      <w:suff w:val="nothing"/>
      <w:lvlText w:val="%1、"/>
      <w:lvlJc w:val="left"/>
      <w:rPr>
        <w:rFonts w:hint="eastAsia"/>
      </w:rPr>
    </w:lvl>
  </w:abstractNum>
  <w:abstractNum w:abstractNumId="2">
    <w:nsid w:val="05E97304"/>
    <w:multiLevelType w:val="multilevel"/>
    <w:tmpl w:val="05E97304"/>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6E94B7C"/>
    <w:multiLevelType w:val="multilevel"/>
    <w:tmpl w:val="06E94B7C"/>
    <w:lvl w:ilvl="0" w:tentative="0">
      <w:start w:val="1"/>
      <w:numFmt w:val="chineseCounting"/>
      <w:suff w:val="space"/>
      <w:lvlText w:val="第%1条"/>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7">
    <w:nsid w:val="0D53605B"/>
    <w:multiLevelType w:val="multilevel"/>
    <w:tmpl w:val="0D53605B"/>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0D9B1588"/>
    <w:multiLevelType w:val="multilevel"/>
    <w:tmpl w:val="0D9B1588"/>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6713138"/>
    <w:multiLevelType w:val="multilevel"/>
    <w:tmpl w:val="16713138"/>
    <w:lvl w:ilvl="0" w:tentative="0">
      <w:start w:val="3"/>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11">
    <w:nsid w:val="1B720CFF"/>
    <w:multiLevelType w:val="multilevel"/>
    <w:tmpl w:val="1B720CFF"/>
    <w:lvl w:ilvl="0" w:tentative="0">
      <w:start w:val="2"/>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3">
    <w:nsid w:val="22961531"/>
    <w:multiLevelType w:val="multilevel"/>
    <w:tmpl w:val="22961531"/>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6">
    <w:nsid w:val="23B871AA"/>
    <w:multiLevelType w:val="multilevel"/>
    <w:tmpl w:val="23B871AA"/>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2B521416"/>
    <w:multiLevelType w:val="multilevel"/>
    <w:tmpl w:val="2B5214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9">
    <w:nsid w:val="335C0F0E"/>
    <w:multiLevelType w:val="multilevel"/>
    <w:tmpl w:val="335C0F0E"/>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4D812031"/>
    <w:multiLevelType w:val="multilevel"/>
    <w:tmpl w:val="4D812031"/>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5">
    <w:nsid w:val="579E11A2"/>
    <w:multiLevelType w:val="multilevel"/>
    <w:tmpl w:val="579E11A2"/>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6">
    <w:nsid w:val="5B87B9D3"/>
    <w:multiLevelType w:val="singleLevel"/>
    <w:tmpl w:val="5B87B9D3"/>
    <w:lvl w:ilvl="0" w:tentative="0">
      <w:start w:val="4"/>
      <w:numFmt w:val="chineseCounting"/>
      <w:suff w:val="nothing"/>
      <w:lvlText w:val="（%1）"/>
      <w:lvlJc w:val="left"/>
    </w:lvl>
  </w:abstractNum>
  <w:abstractNum w:abstractNumId="27">
    <w:nsid w:val="60C0383C"/>
    <w:multiLevelType w:val="singleLevel"/>
    <w:tmpl w:val="60C0383C"/>
    <w:lvl w:ilvl="0" w:tentative="0">
      <w:start w:val="1"/>
      <w:numFmt w:val="chineseCounting"/>
      <w:suff w:val="nothing"/>
      <w:lvlText w:val="（%1）"/>
      <w:lvlJc w:val="left"/>
      <w:pPr>
        <w:ind w:left="0" w:firstLine="420"/>
      </w:pPr>
      <w:rPr>
        <w:rFonts w:hint="eastAsia"/>
      </w:rPr>
    </w:lvl>
  </w:abstractNum>
  <w:abstractNum w:abstractNumId="28">
    <w:nsid w:val="60C03881"/>
    <w:multiLevelType w:val="singleLevel"/>
    <w:tmpl w:val="60C03881"/>
    <w:lvl w:ilvl="0" w:tentative="0">
      <w:start w:val="1"/>
      <w:numFmt w:val="chineseCounting"/>
      <w:suff w:val="nothing"/>
      <w:lvlText w:val="（%1）"/>
      <w:lvlJc w:val="left"/>
      <w:pPr>
        <w:ind w:left="0" w:firstLine="420"/>
      </w:pPr>
      <w:rPr>
        <w:rFonts w:hint="eastAsia"/>
      </w:rPr>
    </w:lvl>
  </w:abstractNum>
  <w:abstractNum w:abstractNumId="29">
    <w:nsid w:val="60C038C0"/>
    <w:multiLevelType w:val="singleLevel"/>
    <w:tmpl w:val="60C038C0"/>
    <w:lvl w:ilvl="0" w:tentative="0">
      <w:start w:val="1"/>
      <w:numFmt w:val="chineseCounting"/>
      <w:suff w:val="nothing"/>
      <w:lvlText w:val="（%1）"/>
      <w:lvlJc w:val="left"/>
      <w:pPr>
        <w:ind w:left="0" w:firstLine="420"/>
      </w:pPr>
      <w:rPr>
        <w:rFonts w:hint="eastAsia"/>
      </w:rPr>
    </w:lvl>
  </w:abstractNum>
  <w:abstractNum w:abstractNumId="30">
    <w:nsid w:val="60C038EA"/>
    <w:multiLevelType w:val="singleLevel"/>
    <w:tmpl w:val="60C038EA"/>
    <w:lvl w:ilvl="0" w:tentative="0">
      <w:start w:val="1"/>
      <w:numFmt w:val="chineseCounting"/>
      <w:suff w:val="nothing"/>
      <w:lvlText w:val="（%1）"/>
      <w:lvlJc w:val="left"/>
      <w:pPr>
        <w:ind w:left="0" w:firstLine="420"/>
      </w:pPr>
      <w:rPr>
        <w:rFonts w:hint="eastAsia"/>
      </w:rPr>
    </w:lvl>
  </w:abstractNum>
  <w:abstractNum w:abstractNumId="31">
    <w:nsid w:val="60C03912"/>
    <w:multiLevelType w:val="singleLevel"/>
    <w:tmpl w:val="60C03912"/>
    <w:lvl w:ilvl="0" w:tentative="0">
      <w:start w:val="1"/>
      <w:numFmt w:val="chineseCounting"/>
      <w:suff w:val="nothing"/>
      <w:lvlText w:val="（%1）"/>
      <w:lvlJc w:val="left"/>
      <w:pPr>
        <w:ind w:left="0" w:firstLine="420"/>
      </w:pPr>
      <w:rPr>
        <w:rFonts w:hint="eastAsia"/>
      </w:rPr>
    </w:lvl>
  </w:abstractNum>
  <w:abstractNum w:abstractNumId="32">
    <w:nsid w:val="60C03933"/>
    <w:multiLevelType w:val="singleLevel"/>
    <w:tmpl w:val="60C03933"/>
    <w:lvl w:ilvl="0" w:tentative="0">
      <w:start w:val="1"/>
      <w:numFmt w:val="chineseCounting"/>
      <w:suff w:val="nothing"/>
      <w:lvlText w:val="（%1）"/>
      <w:lvlJc w:val="left"/>
      <w:pPr>
        <w:ind w:left="0" w:firstLine="420"/>
      </w:pPr>
      <w:rPr>
        <w:rFonts w:hint="eastAsia"/>
      </w:rPr>
    </w:lvl>
  </w:abstractNum>
  <w:abstractNum w:abstractNumId="33">
    <w:nsid w:val="68F71E4A"/>
    <w:multiLevelType w:val="multilevel"/>
    <w:tmpl w:val="68F71E4A"/>
    <w:lvl w:ilvl="0" w:tentative="0">
      <w:start w:val="4"/>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4">
    <w:nsid w:val="6FD4618F"/>
    <w:multiLevelType w:val="multilevel"/>
    <w:tmpl w:val="6FD4618F"/>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6FD57F01"/>
    <w:multiLevelType w:val="multilevel"/>
    <w:tmpl w:val="6FD57F0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74A6507A"/>
    <w:multiLevelType w:val="multilevel"/>
    <w:tmpl w:val="74A6507A"/>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7">
    <w:nsid w:val="77C35101"/>
    <w:multiLevelType w:val="multilevel"/>
    <w:tmpl w:val="77C35101"/>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8">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21"/>
  </w:num>
  <w:num w:numId="2">
    <w:abstractNumId w:val="26"/>
  </w:num>
  <w:num w:numId="3">
    <w:abstractNumId w:val="35"/>
  </w:num>
  <w:num w:numId="4">
    <w:abstractNumId w:val="20"/>
  </w:num>
  <w:num w:numId="5">
    <w:abstractNumId w:val="8"/>
  </w:num>
  <w:num w:numId="6">
    <w:abstractNumId w:val="4"/>
  </w:num>
  <w:num w:numId="7">
    <w:abstractNumId w:val="17"/>
  </w:num>
  <w:num w:numId="8">
    <w:abstractNumId w:val="6"/>
  </w:num>
  <w:num w:numId="9">
    <w:abstractNumId w:val="15"/>
  </w:num>
  <w:num w:numId="10">
    <w:abstractNumId w:val="18"/>
  </w:num>
  <w:num w:numId="11">
    <w:abstractNumId w:val="38"/>
  </w:num>
  <w:num w:numId="12">
    <w:abstractNumId w:val="10"/>
  </w:num>
  <w:num w:numId="13">
    <w:abstractNumId w:val="23"/>
  </w:num>
  <w:num w:numId="14">
    <w:abstractNumId w:val="24"/>
  </w:num>
  <w:num w:numId="15">
    <w:abstractNumId w:val="12"/>
  </w:num>
  <w:num w:numId="16">
    <w:abstractNumId w:val="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attachedTemplate r:id="rId1"/>
  <w:documentProtection w:edit="forms"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225B"/>
    <w:rsid w:val="000074CB"/>
    <w:rsid w:val="00015041"/>
    <w:rsid w:val="00016DEF"/>
    <w:rsid w:val="0003494A"/>
    <w:rsid w:val="00036C6B"/>
    <w:rsid w:val="00041CE3"/>
    <w:rsid w:val="0004400E"/>
    <w:rsid w:val="0005567F"/>
    <w:rsid w:val="00056257"/>
    <w:rsid w:val="00060C68"/>
    <w:rsid w:val="00064AB8"/>
    <w:rsid w:val="0007142C"/>
    <w:rsid w:val="000A03E4"/>
    <w:rsid w:val="000A191B"/>
    <w:rsid w:val="000A5BFF"/>
    <w:rsid w:val="000B0053"/>
    <w:rsid w:val="000B1CF9"/>
    <w:rsid w:val="000B1EBB"/>
    <w:rsid w:val="000D1145"/>
    <w:rsid w:val="000D50FE"/>
    <w:rsid w:val="000D706F"/>
    <w:rsid w:val="000E1225"/>
    <w:rsid w:val="000E251A"/>
    <w:rsid w:val="00102B1D"/>
    <w:rsid w:val="00104207"/>
    <w:rsid w:val="00106F8A"/>
    <w:rsid w:val="00111435"/>
    <w:rsid w:val="00130E15"/>
    <w:rsid w:val="00131B37"/>
    <w:rsid w:val="0013535F"/>
    <w:rsid w:val="001400C5"/>
    <w:rsid w:val="00152C9F"/>
    <w:rsid w:val="00156B28"/>
    <w:rsid w:val="00163E6B"/>
    <w:rsid w:val="0016452E"/>
    <w:rsid w:val="001645E5"/>
    <w:rsid w:val="00165A5F"/>
    <w:rsid w:val="0017046E"/>
    <w:rsid w:val="00170D95"/>
    <w:rsid w:val="00171512"/>
    <w:rsid w:val="00172A27"/>
    <w:rsid w:val="00172CD3"/>
    <w:rsid w:val="00174483"/>
    <w:rsid w:val="0019157B"/>
    <w:rsid w:val="00193263"/>
    <w:rsid w:val="001934D8"/>
    <w:rsid w:val="00194038"/>
    <w:rsid w:val="00197B45"/>
    <w:rsid w:val="001A446B"/>
    <w:rsid w:val="001B1761"/>
    <w:rsid w:val="001B2DF4"/>
    <w:rsid w:val="001B3F9D"/>
    <w:rsid w:val="001C0514"/>
    <w:rsid w:val="001D1ADF"/>
    <w:rsid w:val="001D237B"/>
    <w:rsid w:val="001D566A"/>
    <w:rsid w:val="001D7128"/>
    <w:rsid w:val="001E38D0"/>
    <w:rsid w:val="001E3F30"/>
    <w:rsid w:val="001F29C9"/>
    <w:rsid w:val="001F75CF"/>
    <w:rsid w:val="0020117B"/>
    <w:rsid w:val="00207885"/>
    <w:rsid w:val="00210B24"/>
    <w:rsid w:val="00211131"/>
    <w:rsid w:val="00223672"/>
    <w:rsid w:val="00223734"/>
    <w:rsid w:val="002244F2"/>
    <w:rsid w:val="002256AF"/>
    <w:rsid w:val="002325B7"/>
    <w:rsid w:val="00237C4A"/>
    <w:rsid w:val="00242BAA"/>
    <w:rsid w:val="002470B8"/>
    <w:rsid w:val="002479C3"/>
    <w:rsid w:val="00255690"/>
    <w:rsid w:val="0027745F"/>
    <w:rsid w:val="002952E7"/>
    <w:rsid w:val="002A0433"/>
    <w:rsid w:val="002A1451"/>
    <w:rsid w:val="002B065D"/>
    <w:rsid w:val="002B6E5C"/>
    <w:rsid w:val="002C1918"/>
    <w:rsid w:val="002D09F6"/>
    <w:rsid w:val="002D235A"/>
    <w:rsid w:val="002E07AB"/>
    <w:rsid w:val="002E15F9"/>
    <w:rsid w:val="002E6900"/>
    <w:rsid w:val="00307948"/>
    <w:rsid w:val="00320468"/>
    <w:rsid w:val="003228FE"/>
    <w:rsid w:val="00331D83"/>
    <w:rsid w:val="0034199E"/>
    <w:rsid w:val="003452AC"/>
    <w:rsid w:val="0035187C"/>
    <w:rsid w:val="00356A16"/>
    <w:rsid w:val="00361973"/>
    <w:rsid w:val="00367EA2"/>
    <w:rsid w:val="00375348"/>
    <w:rsid w:val="0038273A"/>
    <w:rsid w:val="00384A29"/>
    <w:rsid w:val="003A539B"/>
    <w:rsid w:val="003A7245"/>
    <w:rsid w:val="003B0D21"/>
    <w:rsid w:val="003B2DFE"/>
    <w:rsid w:val="003B3810"/>
    <w:rsid w:val="003B5FDA"/>
    <w:rsid w:val="003B6960"/>
    <w:rsid w:val="003B72A8"/>
    <w:rsid w:val="003D08EB"/>
    <w:rsid w:val="003D39F2"/>
    <w:rsid w:val="003E5AF8"/>
    <w:rsid w:val="003F047E"/>
    <w:rsid w:val="003F357F"/>
    <w:rsid w:val="003F5069"/>
    <w:rsid w:val="004039EF"/>
    <w:rsid w:val="00403EF6"/>
    <w:rsid w:val="00416162"/>
    <w:rsid w:val="00422904"/>
    <w:rsid w:val="00427991"/>
    <w:rsid w:val="004310E7"/>
    <w:rsid w:val="004316D0"/>
    <w:rsid w:val="00435BD1"/>
    <w:rsid w:val="00435D3F"/>
    <w:rsid w:val="0044304F"/>
    <w:rsid w:val="004431A1"/>
    <w:rsid w:val="004514C8"/>
    <w:rsid w:val="00451910"/>
    <w:rsid w:val="00451A6B"/>
    <w:rsid w:val="004532E9"/>
    <w:rsid w:val="00454783"/>
    <w:rsid w:val="0045623C"/>
    <w:rsid w:val="004614B3"/>
    <w:rsid w:val="00493C19"/>
    <w:rsid w:val="00494B69"/>
    <w:rsid w:val="00496C62"/>
    <w:rsid w:val="004A46C8"/>
    <w:rsid w:val="004B15EB"/>
    <w:rsid w:val="004C06C8"/>
    <w:rsid w:val="004C1095"/>
    <w:rsid w:val="004C4787"/>
    <w:rsid w:val="004C4B64"/>
    <w:rsid w:val="004D66F1"/>
    <w:rsid w:val="004D6A45"/>
    <w:rsid w:val="004D704D"/>
    <w:rsid w:val="004E0BEC"/>
    <w:rsid w:val="004E2F89"/>
    <w:rsid w:val="004E33A1"/>
    <w:rsid w:val="004E5D5E"/>
    <w:rsid w:val="004F3050"/>
    <w:rsid w:val="004F3D2D"/>
    <w:rsid w:val="005056AF"/>
    <w:rsid w:val="00506CCF"/>
    <w:rsid w:val="0051217C"/>
    <w:rsid w:val="00514F54"/>
    <w:rsid w:val="00523DCE"/>
    <w:rsid w:val="005400CC"/>
    <w:rsid w:val="005477C0"/>
    <w:rsid w:val="00553C91"/>
    <w:rsid w:val="00555622"/>
    <w:rsid w:val="0055632F"/>
    <w:rsid w:val="0056715F"/>
    <w:rsid w:val="00567FC0"/>
    <w:rsid w:val="005819B9"/>
    <w:rsid w:val="00581BD2"/>
    <w:rsid w:val="0058288B"/>
    <w:rsid w:val="005844C9"/>
    <w:rsid w:val="00587CF5"/>
    <w:rsid w:val="005A3ADE"/>
    <w:rsid w:val="005A7AAD"/>
    <w:rsid w:val="005B0EBD"/>
    <w:rsid w:val="005B1988"/>
    <w:rsid w:val="005B1F0B"/>
    <w:rsid w:val="005B22CD"/>
    <w:rsid w:val="005D0E2E"/>
    <w:rsid w:val="005D1025"/>
    <w:rsid w:val="005E5D3A"/>
    <w:rsid w:val="005E5EA5"/>
    <w:rsid w:val="005E7CF4"/>
    <w:rsid w:val="005F1215"/>
    <w:rsid w:val="00610019"/>
    <w:rsid w:val="006154E3"/>
    <w:rsid w:val="00621A1C"/>
    <w:rsid w:val="00625776"/>
    <w:rsid w:val="00644885"/>
    <w:rsid w:val="006570EB"/>
    <w:rsid w:val="00662E82"/>
    <w:rsid w:val="0066309F"/>
    <w:rsid w:val="00664AE5"/>
    <w:rsid w:val="00671719"/>
    <w:rsid w:val="006743C1"/>
    <w:rsid w:val="00676A98"/>
    <w:rsid w:val="00681C0C"/>
    <w:rsid w:val="00684F88"/>
    <w:rsid w:val="006A2B09"/>
    <w:rsid w:val="006A677E"/>
    <w:rsid w:val="006A718F"/>
    <w:rsid w:val="006B4408"/>
    <w:rsid w:val="006B4663"/>
    <w:rsid w:val="006C103F"/>
    <w:rsid w:val="006C21C7"/>
    <w:rsid w:val="006C64B9"/>
    <w:rsid w:val="006C7B62"/>
    <w:rsid w:val="006D67BF"/>
    <w:rsid w:val="006E4BB6"/>
    <w:rsid w:val="006E4CDD"/>
    <w:rsid w:val="006E51ED"/>
    <w:rsid w:val="006E63CC"/>
    <w:rsid w:val="006F05DC"/>
    <w:rsid w:val="006F6194"/>
    <w:rsid w:val="00700EDD"/>
    <w:rsid w:val="00702CDC"/>
    <w:rsid w:val="00707360"/>
    <w:rsid w:val="00712DF3"/>
    <w:rsid w:val="00721B8F"/>
    <w:rsid w:val="00723931"/>
    <w:rsid w:val="007604FB"/>
    <w:rsid w:val="00763431"/>
    <w:rsid w:val="00766E4D"/>
    <w:rsid w:val="007672AB"/>
    <w:rsid w:val="00783437"/>
    <w:rsid w:val="00783867"/>
    <w:rsid w:val="00786111"/>
    <w:rsid w:val="00793E73"/>
    <w:rsid w:val="007A110D"/>
    <w:rsid w:val="007A3E6C"/>
    <w:rsid w:val="007C0135"/>
    <w:rsid w:val="007C1F4A"/>
    <w:rsid w:val="007D1D05"/>
    <w:rsid w:val="007D1EED"/>
    <w:rsid w:val="007D26B2"/>
    <w:rsid w:val="007E0AA6"/>
    <w:rsid w:val="007E0BB7"/>
    <w:rsid w:val="007E1355"/>
    <w:rsid w:val="007E1CB3"/>
    <w:rsid w:val="007E43C7"/>
    <w:rsid w:val="007E46A6"/>
    <w:rsid w:val="007E7822"/>
    <w:rsid w:val="007F166D"/>
    <w:rsid w:val="007F219A"/>
    <w:rsid w:val="007F388A"/>
    <w:rsid w:val="007F3DDB"/>
    <w:rsid w:val="007F6D15"/>
    <w:rsid w:val="00816222"/>
    <w:rsid w:val="00826FEE"/>
    <w:rsid w:val="00834ADD"/>
    <w:rsid w:val="00857760"/>
    <w:rsid w:val="008625D8"/>
    <w:rsid w:val="008639A4"/>
    <w:rsid w:val="008665BF"/>
    <w:rsid w:val="00866ED8"/>
    <w:rsid w:val="008700BB"/>
    <w:rsid w:val="008757F6"/>
    <w:rsid w:val="00881607"/>
    <w:rsid w:val="008828B3"/>
    <w:rsid w:val="008831E8"/>
    <w:rsid w:val="00883312"/>
    <w:rsid w:val="00883C12"/>
    <w:rsid w:val="00887B82"/>
    <w:rsid w:val="0089028C"/>
    <w:rsid w:val="00890D50"/>
    <w:rsid w:val="00895CC8"/>
    <w:rsid w:val="008B045C"/>
    <w:rsid w:val="008B29AC"/>
    <w:rsid w:val="008B4135"/>
    <w:rsid w:val="008B648E"/>
    <w:rsid w:val="008C2A67"/>
    <w:rsid w:val="008C324B"/>
    <w:rsid w:val="008C4802"/>
    <w:rsid w:val="008D1673"/>
    <w:rsid w:val="008D554B"/>
    <w:rsid w:val="008E61A5"/>
    <w:rsid w:val="008F0AF2"/>
    <w:rsid w:val="008F4186"/>
    <w:rsid w:val="008F46F8"/>
    <w:rsid w:val="008F4E66"/>
    <w:rsid w:val="008F73FD"/>
    <w:rsid w:val="009011C0"/>
    <w:rsid w:val="0090686F"/>
    <w:rsid w:val="0091212F"/>
    <w:rsid w:val="009138EE"/>
    <w:rsid w:val="0092425C"/>
    <w:rsid w:val="00925573"/>
    <w:rsid w:val="00926EF6"/>
    <w:rsid w:val="00940D7C"/>
    <w:rsid w:val="009472AD"/>
    <w:rsid w:val="00952DC1"/>
    <w:rsid w:val="0095704C"/>
    <w:rsid w:val="00984B2D"/>
    <w:rsid w:val="009858B4"/>
    <w:rsid w:val="00994D9E"/>
    <w:rsid w:val="009A1F15"/>
    <w:rsid w:val="009B1178"/>
    <w:rsid w:val="009C42ED"/>
    <w:rsid w:val="009C4710"/>
    <w:rsid w:val="009D4471"/>
    <w:rsid w:val="009D5443"/>
    <w:rsid w:val="009E4B6C"/>
    <w:rsid w:val="009F27CB"/>
    <w:rsid w:val="00A02EC9"/>
    <w:rsid w:val="00A05D0A"/>
    <w:rsid w:val="00A06CC7"/>
    <w:rsid w:val="00A12D67"/>
    <w:rsid w:val="00A13E04"/>
    <w:rsid w:val="00A16AC6"/>
    <w:rsid w:val="00A20A90"/>
    <w:rsid w:val="00A377BE"/>
    <w:rsid w:val="00A37E45"/>
    <w:rsid w:val="00A4139F"/>
    <w:rsid w:val="00A502C4"/>
    <w:rsid w:val="00A53627"/>
    <w:rsid w:val="00A55ABC"/>
    <w:rsid w:val="00A6012C"/>
    <w:rsid w:val="00A630D8"/>
    <w:rsid w:val="00A649D3"/>
    <w:rsid w:val="00A661D7"/>
    <w:rsid w:val="00A720AA"/>
    <w:rsid w:val="00A74D97"/>
    <w:rsid w:val="00A753E0"/>
    <w:rsid w:val="00A852DE"/>
    <w:rsid w:val="00A967BC"/>
    <w:rsid w:val="00AB38E1"/>
    <w:rsid w:val="00AD19B0"/>
    <w:rsid w:val="00AD7757"/>
    <w:rsid w:val="00AE4F4F"/>
    <w:rsid w:val="00AE6EBA"/>
    <w:rsid w:val="00AF7962"/>
    <w:rsid w:val="00B015B4"/>
    <w:rsid w:val="00B06516"/>
    <w:rsid w:val="00B1085F"/>
    <w:rsid w:val="00B122E9"/>
    <w:rsid w:val="00B20F5C"/>
    <w:rsid w:val="00B23C5F"/>
    <w:rsid w:val="00B23E6A"/>
    <w:rsid w:val="00B35785"/>
    <w:rsid w:val="00B42EBD"/>
    <w:rsid w:val="00B52F4D"/>
    <w:rsid w:val="00B56811"/>
    <w:rsid w:val="00B57765"/>
    <w:rsid w:val="00B6032F"/>
    <w:rsid w:val="00B728F3"/>
    <w:rsid w:val="00B77569"/>
    <w:rsid w:val="00B9230B"/>
    <w:rsid w:val="00B97D20"/>
    <w:rsid w:val="00BA70C0"/>
    <w:rsid w:val="00BB0B22"/>
    <w:rsid w:val="00BB350D"/>
    <w:rsid w:val="00BB3879"/>
    <w:rsid w:val="00BB66A3"/>
    <w:rsid w:val="00BB726B"/>
    <w:rsid w:val="00BC27CF"/>
    <w:rsid w:val="00BD4DA8"/>
    <w:rsid w:val="00BE66F2"/>
    <w:rsid w:val="00BE78DA"/>
    <w:rsid w:val="00BF46BC"/>
    <w:rsid w:val="00BF4D3F"/>
    <w:rsid w:val="00BF6CC1"/>
    <w:rsid w:val="00C0199E"/>
    <w:rsid w:val="00C036B0"/>
    <w:rsid w:val="00C050D1"/>
    <w:rsid w:val="00C16230"/>
    <w:rsid w:val="00C16E2B"/>
    <w:rsid w:val="00C23766"/>
    <w:rsid w:val="00C27E87"/>
    <w:rsid w:val="00C30CB2"/>
    <w:rsid w:val="00C32A88"/>
    <w:rsid w:val="00C41762"/>
    <w:rsid w:val="00C655F7"/>
    <w:rsid w:val="00C72518"/>
    <w:rsid w:val="00C72CF4"/>
    <w:rsid w:val="00C77A74"/>
    <w:rsid w:val="00C8005D"/>
    <w:rsid w:val="00C849A4"/>
    <w:rsid w:val="00C86741"/>
    <w:rsid w:val="00C93021"/>
    <w:rsid w:val="00CA1308"/>
    <w:rsid w:val="00CA3121"/>
    <w:rsid w:val="00CA4667"/>
    <w:rsid w:val="00CB68D3"/>
    <w:rsid w:val="00CC65F7"/>
    <w:rsid w:val="00CC6CB3"/>
    <w:rsid w:val="00CC6D82"/>
    <w:rsid w:val="00CD2D0D"/>
    <w:rsid w:val="00CD46C1"/>
    <w:rsid w:val="00CE784C"/>
    <w:rsid w:val="00D0465E"/>
    <w:rsid w:val="00D10AE7"/>
    <w:rsid w:val="00D2583D"/>
    <w:rsid w:val="00D26643"/>
    <w:rsid w:val="00D37D6C"/>
    <w:rsid w:val="00D46723"/>
    <w:rsid w:val="00D46C85"/>
    <w:rsid w:val="00D473AF"/>
    <w:rsid w:val="00D5034B"/>
    <w:rsid w:val="00D5146E"/>
    <w:rsid w:val="00D52EBC"/>
    <w:rsid w:val="00D54922"/>
    <w:rsid w:val="00D55C4E"/>
    <w:rsid w:val="00D81A70"/>
    <w:rsid w:val="00D849A7"/>
    <w:rsid w:val="00D92EDE"/>
    <w:rsid w:val="00DA3FA9"/>
    <w:rsid w:val="00DB2635"/>
    <w:rsid w:val="00DB5D8B"/>
    <w:rsid w:val="00DB735D"/>
    <w:rsid w:val="00DC1FB7"/>
    <w:rsid w:val="00DC4D62"/>
    <w:rsid w:val="00DD29BD"/>
    <w:rsid w:val="00DE27A1"/>
    <w:rsid w:val="00DE3A2C"/>
    <w:rsid w:val="00DE4189"/>
    <w:rsid w:val="00DE572F"/>
    <w:rsid w:val="00DE5CC6"/>
    <w:rsid w:val="00DF4E0D"/>
    <w:rsid w:val="00E02B43"/>
    <w:rsid w:val="00E02B7C"/>
    <w:rsid w:val="00E056B4"/>
    <w:rsid w:val="00E0683D"/>
    <w:rsid w:val="00E1035F"/>
    <w:rsid w:val="00E10BDC"/>
    <w:rsid w:val="00E15330"/>
    <w:rsid w:val="00E20D39"/>
    <w:rsid w:val="00E2281C"/>
    <w:rsid w:val="00E3669A"/>
    <w:rsid w:val="00E37956"/>
    <w:rsid w:val="00E43308"/>
    <w:rsid w:val="00E63ACF"/>
    <w:rsid w:val="00E63DF1"/>
    <w:rsid w:val="00E63F14"/>
    <w:rsid w:val="00E64867"/>
    <w:rsid w:val="00E81A53"/>
    <w:rsid w:val="00E85C02"/>
    <w:rsid w:val="00E925FC"/>
    <w:rsid w:val="00EA277C"/>
    <w:rsid w:val="00EA601B"/>
    <w:rsid w:val="00EB6780"/>
    <w:rsid w:val="00EC4B8A"/>
    <w:rsid w:val="00ED2623"/>
    <w:rsid w:val="00ED71EA"/>
    <w:rsid w:val="00ED7EE4"/>
    <w:rsid w:val="00EF07DF"/>
    <w:rsid w:val="00F32D6F"/>
    <w:rsid w:val="00F34E58"/>
    <w:rsid w:val="00F35C42"/>
    <w:rsid w:val="00F35EA2"/>
    <w:rsid w:val="00F53554"/>
    <w:rsid w:val="00F5506D"/>
    <w:rsid w:val="00F62A37"/>
    <w:rsid w:val="00F659C2"/>
    <w:rsid w:val="00F661B5"/>
    <w:rsid w:val="00F81135"/>
    <w:rsid w:val="00F81D67"/>
    <w:rsid w:val="00F85512"/>
    <w:rsid w:val="00F94B26"/>
    <w:rsid w:val="00FA581E"/>
    <w:rsid w:val="00FB0DC4"/>
    <w:rsid w:val="00FC053D"/>
    <w:rsid w:val="00FD0659"/>
    <w:rsid w:val="00FD0B2A"/>
    <w:rsid w:val="00FD1AE6"/>
    <w:rsid w:val="00FD4172"/>
    <w:rsid w:val="00FD4749"/>
    <w:rsid w:val="00FD73AF"/>
    <w:rsid w:val="00FE6091"/>
    <w:rsid w:val="00FF2484"/>
    <w:rsid w:val="00FF6507"/>
    <w:rsid w:val="01560D55"/>
    <w:rsid w:val="01FB1F32"/>
    <w:rsid w:val="02C57AC3"/>
    <w:rsid w:val="038269B5"/>
    <w:rsid w:val="04CD156A"/>
    <w:rsid w:val="05130A84"/>
    <w:rsid w:val="09AC6127"/>
    <w:rsid w:val="0F0043BB"/>
    <w:rsid w:val="13016138"/>
    <w:rsid w:val="13842138"/>
    <w:rsid w:val="155D0FAE"/>
    <w:rsid w:val="194950A1"/>
    <w:rsid w:val="1B8B2D6E"/>
    <w:rsid w:val="1D4B4659"/>
    <w:rsid w:val="1DA941EB"/>
    <w:rsid w:val="21AE43C0"/>
    <w:rsid w:val="24B6088C"/>
    <w:rsid w:val="25717188"/>
    <w:rsid w:val="27660D0E"/>
    <w:rsid w:val="28FB441D"/>
    <w:rsid w:val="29E37A3B"/>
    <w:rsid w:val="2A1A7A0B"/>
    <w:rsid w:val="2C843FA1"/>
    <w:rsid w:val="2CF11704"/>
    <w:rsid w:val="2D45719C"/>
    <w:rsid w:val="2DEC75F3"/>
    <w:rsid w:val="2E0B2CD2"/>
    <w:rsid w:val="30E90FE8"/>
    <w:rsid w:val="32C55323"/>
    <w:rsid w:val="35892A55"/>
    <w:rsid w:val="3BA24BB0"/>
    <w:rsid w:val="3D61208C"/>
    <w:rsid w:val="3FCB3B1C"/>
    <w:rsid w:val="3FFE4CE9"/>
    <w:rsid w:val="42B252B7"/>
    <w:rsid w:val="433D1B9E"/>
    <w:rsid w:val="43C61C00"/>
    <w:rsid w:val="45111D82"/>
    <w:rsid w:val="47112604"/>
    <w:rsid w:val="481B099C"/>
    <w:rsid w:val="49FF7166"/>
    <w:rsid w:val="4ACA4F6B"/>
    <w:rsid w:val="50DD7DA0"/>
    <w:rsid w:val="510826B2"/>
    <w:rsid w:val="51FF0A24"/>
    <w:rsid w:val="52EC289B"/>
    <w:rsid w:val="5A726ACA"/>
    <w:rsid w:val="5BE91D19"/>
    <w:rsid w:val="5CEF711D"/>
    <w:rsid w:val="5E7332FD"/>
    <w:rsid w:val="62C16DB1"/>
    <w:rsid w:val="64EA430A"/>
    <w:rsid w:val="6BB97DF1"/>
    <w:rsid w:val="6BE12EF7"/>
    <w:rsid w:val="6C361A89"/>
    <w:rsid w:val="6C6A476A"/>
    <w:rsid w:val="6CFB1020"/>
    <w:rsid w:val="6E05628E"/>
    <w:rsid w:val="73E23960"/>
    <w:rsid w:val="78E860BE"/>
    <w:rsid w:val="7B69328D"/>
    <w:rsid w:val="7C1927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4"/>
    <w:qFormat/>
    <w:uiPriority w:val="99"/>
    <w:pPr>
      <w:keepNext/>
      <w:keepLines/>
      <w:spacing w:line="520" w:lineRule="exact"/>
      <w:outlineLvl w:val="0"/>
    </w:pPr>
    <w:rPr>
      <w:rFonts w:cs="Times New Roman"/>
      <w:b/>
      <w:bCs/>
      <w:kern w:val="44"/>
      <w:sz w:val="44"/>
      <w:szCs w:val="44"/>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7"/>
    <w:semiHidden/>
    <w:qFormat/>
    <w:uiPriority w:val="99"/>
    <w:rPr>
      <w:rFonts w:ascii="宋体" w:cs="Times New Roman"/>
      <w:kern w:val="0"/>
      <w:sz w:val="18"/>
      <w:szCs w:val="18"/>
    </w:rPr>
  </w:style>
  <w:style w:type="paragraph" w:styleId="4">
    <w:name w:val="annotation text"/>
    <w:basedOn w:val="1"/>
    <w:link w:val="19"/>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5"/>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6"/>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2"/>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33"/>
    <w:qFormat/>
    <w:uiPriority w:val="0"/>
    <w:pPr>
      <w:snapToGrid w:val="0"/>
      <w:jc w:val="left"/>
    </w:pPr>
    <w:rPr>
      <w:rFonts w:cs="Times New Roman"/>
      <w:sz w:val="18"/>
      <w:szCs w:val="18"/>
    </w:rPr>
  </w:style>
  <w:style w:type="paragraph" w:styleId="10">
    <w:name w:val="Normal (Web)"/>
    <w:basedOn w:val="1"/>
    <w:unhideWhenUsed/>
    <w:qFormat/>
    <w:uiPriority w:val="99"/>
    <w:rPr>
      <w:sz w:val="24"/>
    </w:rPr>
  </w:style>
  <w:style w:type="paragraph" w:styleId="11">
    <w:name w:val="Title"/>
    <w:basedOn w:val="1"/>
    <w:next w:val="1"/>
    <w:link w:val="21"/>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0"/>
    <w:semiHidden/>
    <w:qFormat/>
    <w:uiPriority w:val="99"/>
    <w:rPr>
      <w:b/>
      <w:bCs/>
    </w:rPr>
  </w:style>
  <w:style w:type="character" w:styleId="15">
    <w:name w:val="page number"/>
    <w:basedOn w:val="14"/>
    <w:qFormat/>
    <w:uiPriority w:val="99"/>
  </w:style>
  <w:style w:type="character" w:styleId="16">
    <w:name w:val="Hyperlink"/>
    <w:qFormat/>
    <w:uiPriority w:val="99"/>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批注文字 Char"/>
    <w:link w:val="4"/>
    <w:semiHidden/>
    <w:qFormat/>
    <w:locked/>
    <w:uiPriority w:val="99"/>
    <w:rPr>
      <w:rFonts w:ascii="Calibri" w:hAnsi="Calibri" w:eastAsia="宋体" w:cs="Calibri"/>
      <w:sz w:val="21"/>
      <w:szCs w:val="21"/>
    </w:rPr>
  </w:style>
  <w:style w:type="character" w:customStyle="1" w:styleId="20">
    <w:name w:val="批注主题 Char"/>
    <w:link w:val="12"/>
    <w:semiHidden/>
    <w:qFormat/>
    <w:locked/>
    <w:uiPriority w:val="99"/>
    <w:rPr>
      <w:rFonts w:ascii="Calibri" w:hAnsi="Calibri" w:eastAsia="宋体" w:cs="Calibri"/>
      <w:b/>
      <w:bCs/>
      <w:sz w:val="21"/>
      <w:szCs w:val="21"/>
    </w:rPr>
  </w:style>
  <w:style w:type="character" w:customStyle="1" w:styleId="21">
    <w:name w:val="标题 Char"/>
    <w:link w:val="11"/>
    <w:qFormat/>
    <w:locked/>
    <w:uiPriority w:val="99"/>
    <w:rPr>
      <w:rFonts w:ascii="Cambria" w:hAnsi="Cambria" w:eastAsia="宋体" w:cs="Cambria"/>
      <w:b/>
      <w:bCs/>
      <w:sz w:val="32"/>
      <w:szCs w:val="32"/>
    </w:rPr>
  </w:style>
  <w:style w:type="character" w:customStyle="1" w:styleId="22">
    <w:name w:val="副标题 Char"/>
    <w:link w:val="8"/>
    <w:qFormat/>
    <w:locked/>
    <w:uiPriority w:val="99"/>
    <w:rPr>
      <w:rFonts w:ascii="Cambria" w:hAnsi="Cambria" w:eastAsia="宋体" w:cs="Cambria"/>
      <w:b/>
      <w:bCs/>
      <w:kern w:val="28"/>
      <w:sz w:val="32"/>
      <w:szCs w:val="32"/>
    </w:rPr>
  </w:style>
  <w:style w:type="character" w:customStyle="1" w:styleId="23">
    <w:name w:val="未处理的提及1"/>
    <w:unhideWhenUsed/>
    <w:qFormat/>
    <w:uiPriority w:val="99"/>
    <w:rPr>
      <w:color w:val="605E5C"/>
      <w:shd w:val="clear" w:color="auto" w:fill="E1DFDD"/>
    </w:rPr>
  </w:style>
  <w:style w:type="character" w:customStyle="1" w:styleId="24">
    <w:name w:val="标题 1 Char"/>
    <w:link w:val="2"/>
    <w:qFormat/>
    <w:locked/>
    <w:uiPriority w:val="99"/>
    <w:rPr>
      <w:rFonts w:ascii="Calibri" w:hAnsi="Calibri" w:eastAsia="宋体" w:cs="Calibri"/>
      <w:b/>
      <w:bCs/>
      <w:kern w:val="44"/>
      <w:sz w:val="44"/>
      <w:szCs w:val="44"/>
    </w:rPr>
  </w:style>
  <w:style w:type="character" w:customStyle="1" w:styleId="25">
    <w:name w:val="页脚 Char"/>
    <w:link w:val="6"/>
    <w:semiHidden/>
    <w:qFormat/>
    <w:locked/>
    <w:uiPriority w:val="99"/>
    <w:rPr>
      <w:rFonts w:ascii="Calibri" w:hAnsi="Calibri" w:eastAsia="宋体" w:cs="Calibri"/>
      <w:sz w:val="18"/>
      <w:szCs w:val="18"/>
    </w:rPr>
  </w:style>
  <w:style w:type="character" w:customStyle="1" w:styleId="26">
    <w:name w:val="页眉 Char"/>
    <w:link w:val="7"/>
    <w:semiHidden/>
    <w:qFormat/>
    <w:locked/>
    <w:uiPriority w:val="99"/>
    <w:rPr>
      <w:rFonts w:ascii="Calibri" w:hAnsi="Calibri" w:eastAsia="宋体" w:cs="Calibri"/>
      <w:sz w:val="18"/>
      <w:szCs w:val="18"/>
    </w:rPr>
  </w:style>
  <w:style w:type="character" w:customStyle="1" w:styleId="27">
    <w:name w:val="文档结构图 Char"/>
    <w:link w:val="3"/>
    <w:semiHidden/>
    <w:qFormat/>
    <w:locked/>
    <w:uiPriority w:val="99"/>
    <w:rPr>
      <w:rFonts w:ascii="宋体" w:hAnsi="Calibri" w:eastAsia="宋体" w:cs="宋体"/>
      <w:sz w:val="18"/>
      <w:szCs w:val="18"/>
    </w:rPr>
  </w:style>
  <w:style w:type="character" w:customStyle="1" w:styleId="28">
    <w:name w:val="批注框文本 Char"/>
    <w:link w:val="5"/>
    <w:semiHidden/>
    <w:qFormat/>
    <w:locked/>
    <w:uiPriority w:val="99"/>
    <w:rPr>
      <w:rFonts w:ascii="Calibri" w:hAnsi="Calibri" w:eastAsia="宋体" w:cs="Calibri"/>
      <w:sz w:val="18"/>
      <w:szCs w:val="18"/>
    </w:rPr>
  </w:style>
  <w:style w:type="paragraph" w:customStyle="1" w:styleId="29">
    <w:name w:val="List Paragraph1"/>
    <w:basedOn w:val="1"/>
    <w:qFormat/>
    <w:uiPriority w:val="99"/>
    <w:pPr>
      <w:ind w:firstLine="420" w:firstLineChars="200"/>
    </w:pPr>
  </w:style>
  <w:style w:type="paragraph" w:customStyle="1" w:styleId="30">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1">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2">
    <w:name w:val="修订1"/>
    <w:hidden/>
    <w:unhideWhenUsed/>
    <w:qFormat/>
    <w:uiPriority w:val="99"/>
    <w:rPr>
      <w:rFonts w:ascii="Calibri" w:hAnsi="Calibri" w:eastAsia="宋体" w:cs="Calibri"/>
      <w:kern w:val="2"/>
      <w:sz w:val="21"/>
      <w:szCs w:val="21"/>
      <w:lang w:val="en-US" w:eastAsia="zh-CN" w:bidi="ar-SA"/>
    </w:rPr>
  </w:style>
  <w:style w:type="character" w:customStyle="1" w:styleId="33">
    <w:name w:val="脚注文本 Char"/>
    <w:link w:val="9"/>
    <w:qFormat/>
    <w:uiPriority w:val="0"/>
    <w:rPr>
      <w:rFonts w:ascii="Calibri" w:hAnsi="Calibri" w:cs="Calibri"/>
      <w:kern w:val="2"/>
      <w:sz w:val="18"/>
      <w:szCs w:val="18"/>
    </w:rPr>
  </w:style>
  <w:style w:type="paragraph" w:styleId="34">
    <w:name w:val="List Paragraph"/>
    <w:basedOn w:val="1"/>
    <w:qFormat/>
    <w:uiPriority w:val="99"/>
    <w:pPr>
      <w:ind w:firstLine="420" w:firstLineChars="200"/>
    </w:pPr>
  </w:style>
  <w:style w:type="paragraph" w:customStyle="1" w:styleId="35">
    <w:name w:val="List Paragraph2"/>
    <w:basedOn w:val="1"/>
    <w:unhideWhenUsed/>
    <w:qFormat/>
    <w:uiPriority w:val="0"/>
    <w:pPr>
      <w:ind w:firstLine="420" w:firstLineChars="200"/>
    </w:pPr>
    <w:rPr>
      <w:rFonts w:ascii="Times New Roman" w:hAnsi="Times New Roman"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375C2-88BA-4568-99E3-24F06E9537F9}">
  <ds:schemaRefs/>
</ds:datastoreItem>
</file>

<file path=docProps/app.xml><?xml version="1.0" encoding="utf-8"?>
<Properties xmlns="http://schemas.openxmlformats.org/officeDocument/2006/extended-properties" xmlns:vt="http://schemas.openxmlformats.org/officeDocument/2006/docPropsVTypes">
  <Template>年添益 1.dotx</Template>
  <Company>Microsoft</Company>
  <Pages>37</Pages>
  <Words>4428</Words>
  <Characters>25244</Characters>
  <Lines>210</Lines>
  <Paragraphs>59</Paragraphs>
  <TotalTime>0</TotalTime>
  <ScaleCrop>false</ScaleCrop>
  <LinksUpToDate>false</LinksUpToDate>
  <CharactersWithSpaces>29613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2021-05-27T04:25:00Z</dcterms:created>
  <dc:creator>hccb</dc:creator>
  <cp:lastModifiedBy>何婷婷</cp:lastModifiedBy>
  <cp:lastPrinted>2020-04-15T04:53:00Z</cp:lastPrinted>
  <dcterms:modified xsi:type="dcterms:W3CDTF">2022-03-14T06:37:22Z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C4B71B7CD4B543FC920C24AC76D3B118</vt:lpwstr>
  </property>
</Properties>
</file>